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982895C" w:rsidR="00A209D6" w:rsidRPr="00BD64E1" w:rsidRDefault="00826ED9" w:rsidP="00A209D6">
      <w:pPr>
        <w:pStyle w:val="Header"/>
        <w:tabs>
          <w:tab w:val="right" w:pos="9639"/>
        </w:tabs>
        <w:rPr>
          <w:bCs/>
          <w:i/>
          <w:noProof w:val="0"/>
          <w:sz w:val="24"/>
          <w:szCs w:val="24"/>
        </w:rPr>
      </w:pPr>
      <w:r w:rsidRPr="00BD64E1">
        <w:rPr>
          <w:bCs/>
          <w:noProof w:val="0"/>
          <w:sz w:val="24"/>
          <w:szCs w:val="24"/>
        </w:rPr>
        <w:t>3GPP TSG-RAN WG2 Meeting #121</w:t>
      </w:r>
      <w:r w:rsidR="0006656D" w:rsidRPr="00BD64E1">
        <w:rPr>
          <w:bCs/>
          <w:noProof w:val="0"/>
          <w:sz w:val="24"/>
          <w:szCs w:val="24"/>
        </w:rPr>
        <w:t>bis</w:t>
      </w:r>
      <w:r w:rsidR="00BD64E1" w:rsidRPr="00BD64E1">
        <w:rPr>
          <w:bCs/>
          <w:noProof w:val="0"/>
          <w:sz w:val="24"/>
          <w:szCs w:val="24"/>
        </w:rPr>
        <w:t xml:space="preserve">-e                                                   </w:t>
      </w:r>
      <w:r w:rsidR="0089685E" w:rsidRPr="00BD64E1">
        <w:rPr>
          <w:bCs/>
          <w:noProof w:val="0"/>
          <w:sz w:val="24"/>
          <w:szCs w:val="24"/>
        </w:rPr>
        <w:t>R2-23</w:t>
      </w:r>
      <w:r w:rsidR="00BD64E1" w:rsidRPr="00BD64E1">
        <w:rPr>
          <w:bCs/>
          <w:noProof w:val="0"/>
          <w:sz w:val="24"/>
          <w:szCs w:val="24"/>
        </w:rPr>
        <w:t>03193</w:t>
      </w:r>
    </w:p>
    <w:p w14:paraId="11776FA6" w14:textId="4200BD8D" w:rsidR="00A209D6" w:rsidRPr="00BD64E1" w:rsidRDefault="00BD64E1" w:rsidP="00A209D6">
      <w:pPr>
        <w:pStyle w:val="Header"/>
        <w:tabs>
          <w:tab w:val="right" w:pos="9639"/>
        </w:tabs>
        <w:rPr>
          <w:bCs/>
          <w:sz w:val="24"/>
          <w:szCs w:val="24"/>
          <w:lang w:eastAsia="zh-CN"/>
        </w:rPr>
      </w:pPr>
      <w:r w:rsidRPr="00BD64E1">
        <w:rPr>
          <w:bCs/>
          <w:sz w:val="24"/>
          <w:szCs w:val="24"/>
          <w:lang w:eastAsia="zh-CN"/>
        </w:rPr>
        <w:t>Elbonia</w:t>
      </w:r>
      <w:r w:rsidR="00FF35E8" w:rsidRPr="00BD64E1">
        <w:rPr>
          <w:bCs/>
          <w:sz w:val="24"/>
          <w:szCs w:val="24"/>
          <w:lang w:eastAsia="zh-CN"/>
        </w:rPr>
        <w:t xml:space="preserve">, </w:t>
      </w:r>
      <w:r w:rsidRPr="00BD64E1">
        <w:rPr>
          <w:bCs/>
          <w:sz w:val="24"/>
          <w:szCs w:val="24"/>
          <w:lang w:eastAsia="zh-CN"/>
        </w:rPr>
        <w:t>1</w:t>
      </w:r>
      <w:r w:rsidR="00FF35E8" w:rsidRPr="00BD64E1">
        <w:rPr>
          <w:bCs/>
          <w:sz w:val="24"/>
          <w:szCs w:val="24"/>
          <w:lang w:eastAsia="zh-CN"/>
        </w:rPr>
        <w:t xml:space="preserve">7 </w:t>
      </w:r>
      <w:r w:rsidRPr="00BD64E1">
        <w:rPr>
          <w:bCs/>
          <w:sz w:val="24"/>
          <w:szCs w:val="24"/>
          <w:lang w:eastAsia="zh-CN"/>
        </w:rPr>
        <w:t>April</w:t>
      </w:r>
      <w:r w:rsidR="00FF35E8" w:rsidRPr="00BD64E1">
        <w:rPr>
          <w:bCs/>
          <w:sz w:val="24"/>
          <w:szCs w:val="24"/>
          <w:lang w:eastAsia="zh-CN"/>
        </w:rPr>
        <w:t xml:space="preserve"> – </w:t>
      </w:r>
      <w:r w:rsidRPr="00BD64E1">
        <w:rPr>
          <w:bCs/>
          <w:sz w:val="24"/>
          <w:szCs w:val="24"/>
          <w:lang w:eastAsia="zh-CN"/>
        </w:rPr>
        <w:t>26 April</w:t>
      </w:r>
      <w:r w:rsidR="00FF35E8" w:rsidRPr="00BD64E1">
        <w:rPr>
          <w:bCs/>
          <w:sz w:val="24"/>
          <w:szCs w:val="24"/>
          <w:lang w:eastAsia="zh-CN"/>
        </w:rPr>
        <w:t xml:space="preserve"> 2023</w:t>
      </w:r>
      <w:r w:rsidR="00A209D6" w:rsidRPr="00BD64E1">
        <w:rPr>
          <w:noProof w:val="0"/>
          <w:sz w:val="24"/>
          <w:szCs w:val="24"/>
          <w:lang w:eastAsia="zh-CN"/>
        </w:rPr>
        <w:tab/>
      </w:r>
    </w:p>
    <w:p w14:paraId="2E02E5F5" w14:textId="77777777" w:rsidR="00A209D6" w:rsidRPr="00BD64E1" w:rsidRDefault="00A209D6" w:rsidP="00A209D6">
      <w:pPr>
        <w:pStyle w:val="Header"/>
        <w:rPr>
          <w:bCs/>
          <w:noProof w:val="0"/>
          <w:sz w:val="24"/>
        </w:rPr>
      </w:pPr>
    </w:p>
    <w:p w14:paraId="403CB9C0" w14:textId="77777777" w:rsidR="00A209D6" w:rsidRPr="00BD64E1" w:rsidRDefault="00A209D6" w:rsidP="00A209D6">
      <w:pPr>
        <w:pStyle w:val="Header"/>
        <w:rPr>
          <w:bCs/>
          <w:noProof w:val="0"/>
          <w:sz w:val="24"/>
        </w:rPr>
      </w:pPr>
    </w:p>
    <w:p w14:paraId="310B92C9" w14:textId="76E75FBD" w:rsidR="00446C3A" w:rsidRPr="00BD64E1" w:rsidRDefault="00446C3A" w:rsidP="00446C3A">
      <w:pPr>
        <w:pStyle w:val="CRCoverPage"/>
        <w:tabs>
          <w:tab w:val="left" w:pos="1985"/>
        </w:tabs>
        <w:rPr>
          <w:rFonts w:cs="Arial"/>
          <w:b/>
          <w:bCs/>
          <w:sz w:val="24"/>
          <w:lang w:eastAsia="ja-JP"/>
        </w:rPr>
      </w:pPr>
      <w:r w:rsidRPr="00BD64E1">
        <w:rPr>
          <w:rFonts w:cs="Arial"/>
          <w:b/>
          <w:bCs/>
          <w:sz w:val="24"/>
        </w:rPr>
        <w:t>Agenda item:</w:t>
      </w:r>
      <w:r w:rsidRPr="00BD64E1">
        <w:rPr>
          <w:rFonts w:cs="Arial"/>
          <w:b/>
          <w:bCs/>
          <w:sz w:val="24"/>
        </w:rPr>
        <w:tab/>
      </w:r>
      <w:r w:rsidR="00CB3431" w:rsidRPr="00BD64E1">
        <w:rPr>
          <w:rFonts w:cs="Arial"/>
          <w:b/>
          <w:bCs/>
          <w:sz w:val="24"/>
          <w:lang w:eastAsia="ja-JP"/>
        </w:rPr>
        <w:t>7</w:t>
      </w:r>
      <w:r w:rsidRPr="00BD64E1">
        <w:rPr>
          <w:rFonts w:cs="Arial"/>
          <w:b/>
          <w:bCs/>
          <w:sz w:val="24"/>
          <w:lang w:eastAsia="ja-JP"/>
        </w:rPr>
        <w:t>.</w:t>
      </w:r>
      <w:r w:rsidR="00A5783B" w:rsidRPr="00BD64E1">
        <w:rPr>
          <w:rFonts w:cs="Arial"/>
          <w:b/>
          <w:bCs/>
          <w:sz w:val="24"/>
          <w:lang w:eastAsia="ja-JP"/>
        </w:rPr>
        <w:t>6</w:t>
      </w:r>
      <w:r w:rsidRPr="00BD64E1">
        <w:rPr>
          <w:rFonts w:cs="Arial"/>
          <w:b/>
          <w:bCs/>
          <w:sz w:val="24"/>
          <w:lang w:eastAsia="ja-JP"/>
        </w:rPr>
        <w:t>.</w:t>
      </w:r>
      <w:r w:rsidR="005E6E98" w:rsidRPr="00BD64E1">
        <w:rPr>
          <w:rFonts w:cs="Arial"/>
          <w:b/>
          <w:bCs/>
          <w:sz w:val="24"/>
          <w:lang w:eastAsia="ja-JP"/>
        </w:rPr>
        <w:t>4</w:t>
      </w:r>
    </w:p>
    <w:p w14:paraId="73188B46" w14:textId="77777777" w:rsidR="00446C3A" w:rsidRPr="00BD64E1" w:rsidRDefault="00446C3A" w:rsidP="00446C3A">
      <w:pPr>
        <w:tabs>
          <w:tab w:val="left" w:pos="1985"/>
        </w:tabs>
        <w:ind w:left="1985" w:hanging="1985"/>
        <w:rPr>
          <w:rFonts w:ascii="Arial" w:hAnsi="Arial" w:cs="Arial"/>
          <w:b/>
          <w:bCs/>
          <w:sz w:val="24"/>
        </w:rPr>
      </w:pPr>
      <w:r w:rsidRPr="00BD64E1">
        <w:rPr>
          <w:rFonts w:ascii="Arial" w:hAnsi="Arial" w:cs="Arial"/>
          <w:b/>
          <w:bCs/>
          <w:sz w:val="24"/>
        </w:rPr>
        <w:t>Source:</w:t>
      </w:r>
      <w:r w:rsidRPr="00BD64E1">
        <w:rPr>
          <w:rFonts w:ascii="Arial" w:hAnsi="Arial" w:cs="Arial"/>
          <w:b/>
          <w:bCs/>
          <w:sz w:val="24"/>
        </w:rPr>
        <w:tab/>
        <w:t>Nokia, Nokia Shanghai Bell</w:t>
      </w:r>
    </w:p>
    <w:p w14:paraId="553D264F" w14:textId="555141E8" w:rsidR="00446C3A" w:rsidRPr="00BD64E1" w:rsidRDefault="00446C3A" w:rsidP="00446C3A">
      <w:pPr>
        <w:ind w:left="1985" w:hanging="1985"/>
        <w:rPr>
          <w:rFonts w:ascii="Arial" w:hAnsi="Arial" w:cs="Arial"/>
          <w:b/>
          <w:bCs/>
          <w:sz w:val="24"/>
        </w:rPr>
      </w:pPr>
      <w:r w:rsidRPr="00BD64E1">
        <w:rPr>
          <w:rFonts w:ascii="Arial" w:hAnsi="Arial" w:cs="Arial"/>
          <w:b/>
          <w:bCs/>
          <w:sz w:val="24"/>
        </w:rPr>
        <w:t>Title:</w:t>
      </w:r>
      <w:r w:rsidRPr="00BD64E1">
        <w:rPr>
          <w:rFonts w:ascii="Arial" w:hAnsi="Arial" w:cs="Arial"/>
          <w:b/>
          <w:bCs/>
          <w:sz w:val="24"/>
        </w:rPr>
        <w:tab/>
      </w:r>
      <w:r w:rsidR="005E01FD" w:rsidRPr="005E01FD">
        <w:rPr>
          <w:rFonts w:ascii="Arial" w:hAnsi="Arial" w:cs="Arial"/>
          <w:b/>
          <w:bCs/>
          <w:sz w:val="24"/>
        </w:rPr>
        <w:t xml:space="preserve">On RAN impacts for </w:t>
      </w:r>
      <w:r w:rsidR="005E01FD" w:rsidRPr="005E01FD">
        <w:rPr>
          <w:rFonts w:ascii="Arial" w:hAnsi="Arial" w:cs="Arial"/>
          <w:b/>
          <w:bCs/>
          <w:sz w:val="24"/>
        </w:rPr>
        <w:t>Discontinuous</w:t>
      </w:r>
      <w:r w:rsidR="005E01FD" w:rsidRPr="005E01FD">
        <w:rPr>
          <w:rFonts w:ascii="Arial" w:hAnsi="Arial" w:cs="Arial"/>
          <w:b/>
          <w:bCs/>
          <w:sz w:val="24"/>
        </w:rPr>
        <w:t xml:space="preserve"> coverage enhancements</w:t>
      </w:r>
    </w:p>
    <w:p w14:paraId="25F387E8" w14:textId="433C3DE9" w:rsidR="00446C3A" w:rsidRPr="00BD64E1" w:rsidRDefault="00446C3A" w:rsidP="00446C3A">
      <w:pPr>
        <w:ind w:left="1985" w:hanging="1985"/>
        <w:rPr>
          <w:rFonts w:ascii="Arial" w:hAnsi="Arial" w:cs="Arial"/>
          <w:b/>
          <w:bCs/>
          <w:sz w:val="24"/>
        </w:rPr>
      </w:pPr>
      <w:r w:rsidRPr="00BD64E1">
        <w:rPr>
          <w:rFonts w:ascii="Arial" w:hAnsi="Arial" w:cs="Arial"/>
          <w:b/>
          <w:bCs/>
          <w:sz w:val="24"/>
        </w:rPr>
        <w:t>WID/SID:</w:t>
      </w:r>
      <w:r w:rsidRPr="00BD64E1">
        <w:rPr>
          <w:rFonts w:ascii="Arial" w:hAnsi="Arial" w:cs="Arial"/>
          <w:b/>
          <w:bCs/>
          <w:sz w:val="24"/>
        </w:rPr>
        <w:tab/>
      </w:r>
      <w:proofErr w:type="spellStart"/>
      <w:r w:rsidR="00A5783B" w:rsidRPr="00BD64E1">
        <w:rPr>
          <w:rFonts w:ascii="Arial" w:hAnsi="Arial" w:cs="Arial"/>
          <w:b/>
          <w:bCs/>
          <w:sz w:val="24"/>
        </w:rPr>
        <w:t>IoT_NTN_enh</w:t>
      </w:r>
      <w:proofErr w:type="spellEnd"/>
      <w:r w:rsidR="00A5783B" w:rsidRPr="00BD64E1">
        <w:rPr>
          <w:rFonts w:ascii="Arial" w:hAnsi="Arial" w:cs="Arial"/>
          <w:b/>
          <w:bCs/>
          <w:sz w:val="24"/>
        </w:rPr>
        <w:t xml:space="preserve"> </w:t>
      </w:r>
      <w:r w:rsidRPr="00BD64E1">
        <w:rPr>
          <w:rFonts w:ascii="Arial" w:hAnsi="Arial" w:cs="Arial"/>
          <w:b/>
          <w:bCs/>
          <w:sz w:val="24"/>
        </w:rPr>
        <w:t xml:space="preserve">- Release </w:t>
      </w:r>
      <w:r w:rsidR="00A5783B" w:rsidRPr="00BD64E1">
        <w:rPr>
          <w:rFonts w:ascii="Arial" w:hAnsi="Arial" w:cs="Arial"/>
          <w:b/>
          <w:bCs/>
          <w:sz w:val="24"/>
        </w:rPr>
        <w:t>18</w:t>
      </w:r>
    </w:p>
    <w:p w14:paraId="6FEB19D6" w14:textId="77777777" w:rsidR="00446C3A" w:rsidRPr="00BD64E1" w:rsidRDefault="00446C3A" w:rsidP="00446C3A">
      <w:pPr>
        <w:tabs>
          <w:tab w:val="left" w:pos="1985"/>
        </w:tabs>
        <w:rPr>
          <w:rFonts w:ascii="Arial" w:hAnsi="Arial" w:cs="Arial"/>
          <w:b/>
          <w:bCs/>
          <w:sz w:val="24"/>
        </w:rPr>
      </w:pPr>
      <w:r w:rsidRPr="00BD64E1">
        <w:rPr>
          <w:rFonts w:ascii="Arial" w:hAnsi="Arial" w:cs="Arial"/>
          <w:b/>
          <w:bCs/>
          <w:sz w:val="24"/>
        </w:rPr>
        <w:t>Document for:</w:t>
      </w:r>
      <w:r w:rsidRPr="00BD64E1">
        <w:rPr>
          <w:rFonts w:ascii="Arial" w:hAnsi="Arial" w:cs="Arial"/>
          <w:b/>
          <w:bCs/>
          <w:sz w:val="24"/>
        </w:rPr>
        <w:tab/>
        <w:t>Discussion and Decision</w:t>
      </w:r>
    </w:p>
    <w:p w14:paraId="294B1FC1" w14:textId="77777777" w:rsidR="00A209D6" w:rsidRPr="00BD64E1" w:rsidRDefault="00A209D6" w:rsidP="00A209D6">
      <w:pPr>
        <w:pStyle w:val="Heading1"/>
      </w:pPr>
      <w:r w:rsidRPr="00BD64E1">
        <w:t>1</w:t>
      </w:r>
      <w:r w:rsidRPr="00BD64E1">
        <w:tab/>
        <w:t>Introduction</w:t>
      </w:r>
    </w:p>
    <w:p w14:paraId="5D66B5AF" w14:textId="7FF5B3F6" w:rsidR="009339CB" w:rsidRPr="00BD64E1" w:rsidRDefault="00351652" w:rsidP="009339CB">
      <w:r w:rsidRPr="00BD64E1">
        <w:t xml:space="preserve">In </w:t>
      </w:r>
      <w:r w:rsidR="004F3FB2" w:rsidRPr="00BD64E1">
        <w:t xml:space="preserve">the </w:t>
      </w:r>
      <w:r w:rsidRPr="00BD64E1">
        <w:t>Rel-18 W</w:t>
      </w:r>
      <w:r w:rsidRPr="00BD64E1">
        <w:rPr>
          <w:rFonts w:hint="eastAsia"/>
          <w:lang w:eastAsia="zh-CN"/>
        </w:rPr>
        <w:t>ID</w:t>
      </w:r>
      <w:r w:rsidR="00ED317C" w:rsidRPr="00BD64E1">
        <w:rPr>
          <w:lang w:eastAsia="zh-CN"/>
        </w:rPr>
        <w:t xml:space="preserve"> </w:t>
      </w:r>
      <w:r w:rsidRPr="00BD64E1">
        <w:t xml:space="preserve">[1], </w:t>
      </w:r>
      <w:r w:rsidR="004705C4" w:rsidRPr="00BD64E1">
        <w:t xml:space="preserve">there is </w:t>
      </w:r>
      <w:r w:rsidR="003254A0" w:rsidRPr="00BD64E1">
        <w:t>an</w:t>
      </w:r>
      <w:r w:rsidRPr="00BD64E1">
        <w:t xml:space="preserve"> objective to </w:t>
      </w:r>
      <w:r w:rsidR="001933FA" w:rsidRPr="00BD64E1">
        <w:t>further enhance the support of discontinuous coverage:</w:t>
      </w:r>
    </w:p>
    <w:tbl>
      <w:tblPr>
        <w:tblStyle w:val="TableGrid"/>
        <w:tblW w:w="0" w:type="auto"/>
        <w:tblLook w:val="04A0" w:firstRow="1" w:lastRow="0" w:firstColumn="1" w:lastColumn="0" w:noHBand="0" w:noVBand="1"/>
      </w:tblPr>
      <w:tblGrid>
        <w:gridCol w:w="9631"/>
      </w:tblGrid>
      <w:tr w:rsidR="003424E9" w:rsidRPr="00BD64E1" w14:paraId="01260B4D" w14:textId="77777777" w:rsidTr="003424E9">
        <w:tc>
          <w:tcPr>
            <w:tcW w:w="9631" w:type="dxa"/>
          </w:tcPr>
          <w:p w14:paraId="5DD9BAE1" w14:textId="77777777" w:rsidR="001933FA" w:rsidRPr="00BD64E1" w:rsidRDefault="001933FA" w:rsidP="001933FA">
            <w:r w:rsidRPr="00BD64E1">
              <w:t>4.1.3    Further enhancement to discontinuous coverage</w:t>
            </w:r>
          </w:p>
          <w:p w14:paraId="7E5AEC3E" w14:textId="04E33F01" w:rsidR="003424E9" w:rsidRPr="00BD64E1" w:rsidRDefault="001933FA" w:rsidP="001933FA">
            <w:pPr>
              <w:pStyle w:val="B1"/>
            </w:pPr>
            <w:r w:rsidRPr="00BD64E1">
              <w:t>-    Study and specify, if needed, mobility management enhancements and power saving enhancements for discontinuous coverage, taking into account the conclusions from the SA2 study (FS_5GSAT_Ph2).  [RAN2, RAN3].</w:t>
            </w:r>
          </w:p>
        </w:tc>
      </w:tr>
    </w:tbl>
    <w:p w14:paraId="3F220129" w14:textId="1693507F" w:rsidR="003424E9" w:rsidRPr="00BD64E1" w:rsidRDefault="003424E9" w:rsidP="009339CB">
      <w:pPr>
        <w:rPr>
          <w:sz w:val="2"/>
          <w:szCs w:val="2"/>
        </w:rPr>
      </w:pPr>
    </w:p>
    <w:tbl>
      <w:tblPr>
        <w:tblStyle w:val="TableGrid"/>
        <w:tblpPr w:leftFromText="180" w:rightFromText="180" w:vertAnchor="text" w:horzAnchor="margin" w:tblpY="327"/>
        <w:tblW w:w="0" w:type="auto"/>
        <w:tblLook w:val="04A0" w:firstRow="1" w:lastRow="0" w:firstColumn="1" w:lastColumn="0" w:noHBand="0" w:noVBand="1"/>
      </w:tblPr>
      <w:tblGrid>
        <w:gridCol w:w="9631"/>
      </w:tblGrid>
      <w:tr w:rsidR="00EB6B5C" w:rsidRPr="00BD64E1" w14:paraId="74478CDB" w14:textId="77777777" w:rsidTr="00EB6B5C">
        <w:tc>
          <w:tcPr>
            <w:tcW w:w="9631" w:type="dxa"/>
          </w:tcPr>
          <w:p w14:paraId="4A8EEC62" w14:textId="77777777" w:rsidR="00EB6B5C" w:rsidRPr="00BD64E1" w:rsidRDefault="00EB6B5C" w:rsidP="004B7159">
            <w:pPr>
              <w:spacing w:after="0"/>
            </w:pPr>
            <w:r w:rsidRPr="00BD64E1">
              <w:t>In Release 17, a work item is carried out to enable NB-IoT and eMTC to support Non-Terrestrial Networks (NTN) under the following assumptions:</w:t>
            </w:r>
          </w:p>
          <w:p w14:paraId="680F3AA6" w14:textId="4AA05BC9" w:rsidR="00EB6B5C" w:rsidRPr="00BD64E1" w:rsidRDefault="00EB6B5C" w:rsidP="004B7159">
            <w:pPr>
              <w:pStyle w:val="ListParagraph"/>
              <w:numPr>
                <w:ilvl w:val="0"/>
                <w:numId w:val="10"/>
              </w:numPr>
              <w:rPr>
                <w:rFonts w:ascii="Times New Roman" w:hAnsi="Times New Roman" w:cs="Times New Roman"/>
                <w:sz w:val="20"/>
                <w:szCs w:val="20"/>
              </w:rPr>
            </w:pPr>
            <w:proofErr w:type="spellStart"/>
            <w:r w:rsidRPr="00BD64E1">
              <w:rPr>
                <w:rFonts w:ascii="Times New Roman" w:hAnsi="Times New Roman" w:cs="Times New Roman"/>
                <w:sz w:val="20"/>
                <w:szCs w:val="20"/>
              </w:rPr>
              <w:t>Transparent</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payload</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based</w:t>
            </w:r>
            <w:proofErr w:type="spellEnd"/>
            <w:r w:rsidRPr="00BD64E1">
              <w:rPr>
                <w:rFonts w:ascii="Times New Roman" w:hAnsi="Times New Roman" w:cs="Times New Roman"/>
                <w:sz w:val="20"/>
                <w:szCs w:val="20"/>
              </w:rPr>
              <w:t xml:space="preserve"> GEO and NGSO </w:t>
            </w:r>
            <w:proofErr w:type="spellStart"/>
            <w:r w:rsidRPr="00BD64E1">
              <w:rPr>
                <w:rFonts w:ascii="Times New Roman" w:hAnsi="Times New Roman" w:cs="Times New Roman"/>
                <w:sz w:val="20"/>
                <w:szCs w:val="20"/>
              </w:rPr>
              <w:t>network</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scenarios</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addressing</w:t>
            </w:r>
            <w:proofErr w:type="spellEnd"/>
            <w:r w:rsidRPr="00BD64E1">
              <w:rPr>
                <w:rFonts w:ascii="Times New Roman" w:hAnsi="Times New Roman" w:cs="Times New Roman"/>
                <w:sz w:val="20"/>
                <w:szCs w:val="20"/>
              </w:rPr>
              <w:t xml:space="preserve"> at </w:t>
            </w:r>
            <w:proofErr w:type="spellStart"/>
            <w:r w:rsidRPr="00BD64E1">
              <w:rPr>
                <w:rFonts w:ascii="Times New Roman" w:hAnsi="Times New Roman" w:cs="Times New Roman"/>
                <w:sz w:val="20"/>
                <w:szCs w:val="20"/>
              </w:rPr>
              <w:t>least</w:t>
            </w:r>
            <w:proofErr w:type="spellEnd"/>
            <w:r w:rsidRPr="00BD64E1">
              <w:rPr>
                <w:rFonts w:ascii="Times New Roman" w:hAnsi="Times New Roman" w:cs="Times New Roman"/>
                <w:sz w:val="20"/>
                <w:szCs w:val="20"/>
              </w:rPr>
              <w:t xml:space="preserve"> 3GPP </w:t>
            </w:r>
            <w:proofErr w:type="spellStart"/>
            <w:r w:rsidRPr="00BD64E1">
              <w:rPr>
                <w:rFonts w:ascii="Times New Roman" w:hAnsi="Times New Roman" w:cs="Times New Roman"/>
                <w:sz w:val="20"/>
                <w:szCs w:val="20"/>
              </w:rPr>
              <w:t>power</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class</w:t>
            </w:r>
            <w:proofErr w:type="spellEnd"/>
            <w:r w:rsidRPr="00BD64E1">
              <w:rPr>
                <w:rFonts w:ascii="Times New Roman" w:hAnsi="Times New Roman" w:cs="Times New Roman"/>
                <w:sz w:val="20"/>
                <w:szCs w:val="20"/>
              </w:rPr>
              <w:t xml:space="preserve"> 3 UE </w:t>
            </w:r>
            <w:proofErr w:type="spellStart"/>
            <w:r w:rsidRPr="00BD64E1">
              <w:rPr>
                <w:rFonts w:ascii="Times New Roman" w:hAnsi="Times New Roman" w:cs="Times New Roman"/>
                <w:sz w:val="20"/>
                <w:szCs w:val="20"/>
              </w:rPr>
              <w:t>with</w:t>
            </w:r>
            <w:proofErr w:type="spellEnd"/>
            <w:r w:rsidRPr="00BD64E1">
              <w:rPr>
                <w:rFonts w:ascii="Times New Roman" w:hAnsi="Times New Roman" w:cs="Times New Roman"/>
                <w:sz w:val="20"/>
                <w:szCs w:val="20"/>
              </w:rPr>
              <w:t xml:space="preserve"> GNSS </w:t>
            </w:r>
            <w:proofErr w:type="spellStart"/>
            <w:r w:rsidRPr="00BD64E1">
              <w:rPr>
                <w:rFonts w:ascii="Times New Roman" w:hAnsi="Times New Roman" w:cs="Times New Roman"/>
                <w:sz w:val="20"/>
                <w:szCs w:val="20"/>
              </w:rPr>
              <w:t>capability</w:t>
            </w:r>
            <w:proofErr w:type="spellEnd"/>
            <w:r w:rsidRPr="00BD64E1">
              <w:rPr>
                <w:rFonts w:ascii="Times New Roman" w:hAnsi="Times New Roman" w:cs="Times New Roman"/>
                <w:sz w:val="20"/>
                <w:szCs w:val="20"/>
              </w:rPr>
              <w:t xml:space="preserve"> in </w:t>
            </w:r>
            <w:proofErr w:type="spellStart"/>
            <w:r w:rsidRPr="00BD64E1">
              <w:rPr>
                <w:rFonts w:ascii="Times New Roman" w:hAnsi="Times New Roman" w:cs="Times New Roman"/>
                <w:sz w:val="20"/>
                <w:szCs w:val="20"/>
              </w:rPr>
              <w:t>both</w:t>
            </w:r>
            <w:proofErr w:type="spellEnd"/>
            <w:r w:rsidRPr="00BD64E1">
              <w:rPr>
                <w:rFonts w:ascii="Times New Roman" w:hAnsi="Times New Roman" w:cs="Times New Roman"/>
                <w:sz w:val="20"/>
                <w:szCs w:val="20"/>
              </w:rPr>
              <w:t xml:space="preserve"> Earth </w:t>
            </w:r>
            <w:proofErr w:type="spellStart"/>
            <w:r w:rsidRPr="00BD64E1">
              <w:rPr>
                <w:rFonts w:ascii="Times New Roman" w:hAnsi="Times New Roman" w:cs="Times New Roman"/>
                <w:sz w:val="20"/>
                <w:szCs w:val="20"/>
              </w:rPr>
              <w:t>fixed</w:t>
            </w:r>
            <w:proofErr w:type="spellEnd"/>
            <w:r w:rsidRPr="00BD64E1">
              <w:rPr>
                <w:rFonts w:ascii="Times New Roman" w:hAnsi="Times New Roman" w:cs="Times New Roman"/>
                <w:sz w:val="20"/>
                <w:szCs w:val="20"/>
              </w:rPr>
              <w:t xml:space="preserve"> &amp;/</w:t>
            </w:r>
            <w:proofErr w:type="spellStart"/>
            <w:r w:rsidRPr="00BD64E1">
              <w:rPr>
                <w:rFonts w:ascii="Times New Roman" w:hAnsi="Times New Roman" w:cs="Times New Roman"/>
                <w:sz w:val="20"/>
                <w:szCs w:val="20"/>
              </w:rPr>
              <w:t>or</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moving</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cell</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configurations</w:t>
            </w:r>
            <w:proofErr w:type="spellEnd"/>
            <w:r w:rsidRPr="00BD64E1">
              <w:rPr>
                <w:rFonts w:ascii="Times New Roman" w:hAnsi="Times New Roman" w:cs="Times New Roman"/>
                <w:sz w:val="20"/>
                <w:szCs w:val="20"/>
              </w:rPr>
              <w:t>.</w:t>
            </w:r>
          </w:p>
          <w:p w14:paraId="4CC9EF57" w14:textId="38038726" w:rsidR="00EB6B5C" w:rsidRPr="00BD64E1" w:rsidRDefault="00EB6B5C" w:rsidP="004B7159">
            <w:pPr>
              <w:spacing w:before="240" w:after="0"/>
            </w:pPr>
            <w:r w:rsidRPr="00BD64E1">
              <w:t>As part of release 18, a new work item is proposed to define further enhancements for NB-IoT NTN and eMTC NTN in order to:</w:t>
            </w:r>
          </w:p>
          <w:p w14:paraId="79EFC19B" w14:textId="230CE7DB" w:rsidR="00EB6B5C" w:rsidRPr="00BD64E1" w:rsidRDefault="00EB6B5C" w:rsidP="004B7159">
            <w:pPr>
              <w:pStyle w:val="ListParagraph"/>
              <w:numPr>
                <w:ilvl w:val="0"/>
                <w:numId w:val="10"/>
              </w:numPr>
              <w:rPr>
                <w:rFonts w:ascii="Times New Roman" w:hAnsi="Times New Roman" w:cs="Times New Roman"/>
                <w:sz w:val="20"/>
                <w:szCs w:val="20"/>
              </w:rPr>
            </w:pPr>
            <w:proofErr w:type="spellStart"/>
            <w:r w:rsidRPr="00BD64E1">
              <w:rPr>
                <w:rFonts w:ascii="Times New Roman" w:hAnsi="Times New Roman" w:cs="Times New Roman"/>
                <w:sz w:val="20"/>
                <w:szCs w:val="20"/>
              </w:rPr>
              <w:t>Improve</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mobility</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aspects</w:t>
            </w:r>
            <w:proofErr w:type="spellEnd"/>
          </w:p>
          <w:p w14:paraId="7DE351D0" w14:textId="50B1C96C" w:rsidR="00EB6B5C" w:rsidRPr="00BD64E1" w:rsidRDefault="00EB6B5C" w:rsidP="004B7159">
            <w:pPr>
              <w:pStyle w:val="ListParagraph"/>
              <w:numPr>
                <w:ilvl w:val="0"/>
                <w:numId w:val="10"/>
              </w:numPr>
              <w:rPr>
                <w:rFonts w:ascii="Times New Roman" w:hAnsi="Times New Roman" w:cs="Times New Roman"/>
                <w:sz w:val="20"/>
                <w:szCs w:val="20"/>
              </w:rPr>
            </w:pPr>
            <w:proofErr w:type="spellStart"/>
            <w:r w:rsidRPr="00BD64E1">
              <w:rPr>
                <w:rFonts w:ascii="Times New Roman" w:hAnsi="Times New Roman" w:cs="Times New Roman"/>
                <w:sz w:val="20"/>
                <w:szCs w:val="20"/>
              </w:rPr>
              <w:t>Improve</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performance</w:t>
            </w:r>
            <w:proofErr w:type="spellEnd"/>
            <w:r w:rsidRPr="00BD64E1">
              <w:rPr>
                <w:rFonts w:ascii="Times New Roman" w:hAnsi="Times New Roman" w:cs="Times New Roman"/>
                <w:sz w:val="20"/>
                <w:szCs w:val="20"/>
              </w:rPr>
              <w:t xml:space="preserve"> in </w:t>
            </w:r>
            <w:proofErr w:type="spellStart"/>
            <w:r w:rsidRPr="00BD64E1">
              <w:rPr>
                <w:rFonts w:ascii="Times New Roman" w:hAnsi="Times New Roman" w:cs="Times New Roman"/>
                <w:sz w:val="20"/>
                <w:szCs w:val="20"/>
              </w:rPr>
              <w:t>terms</w:t>
            </w:r>
            <w:proofErr w:type="spellEnd"/>
            <w:r w:rsidRPr="00BD64E1">
              <w:rPr>
                <w:rFonts w:ascii="Times New Roman" w:hAnsi="Times New Roman" w:cs="Times New Roman"/>
                <w:sz w:val="20"/>
                <w:szCs w:val="20"/>
              </w:rPr>
              <w:t xml:space="preserve"> of </w:t>
            </w:r>
            <w:proofErr w:type="spellStart"/>
            <w:r w:rsidRPr="00BD64E1">
              <w:rPr>
                <w:rFonts w:ascii="Times New Roman" w:hAnsi="Times New Roman" w:cs="Times New Roman"/>
                <w:sz w:val="20"/>
                <w:szCs w:val="20"/>
              </w:rPr>
              <w:t>throughput</w:t>
            </w:r>
            <w:proofErr w:type="spellEnd"/>
          </w:p>
          <w:p w14:paraId="14C6982B" w14:textId="233F4E1A" w:rsidR="00EB6B5C" w:rsidRPr="00BD64E1" w:rsidRDefault="00EB6B5C" w:rsidP="004B7159">
            <w:pPr>
              <w:pStyle w:val="ListParagraph"/>
              <w:numPr>
                <w:ilvl w:val="0"/>
                <w:numId w:val="10"/>
              </w:numPr>
              <w:rPr>
                <w:rFonts w:ascii="Times New Roman" w:hAnsi="Times New Roman" w:cs="Times New Roman"/>
                <w:sz w:val="20"/>
                <w:szCs w:val="20"/>
              </w:rPr>
            </w:pPr>
            <w:proofErr w:type="spellStart"/>
            <w:r w:rsidRPr="00BD64E1">
              <w:rPr>
                <w:rFonts w:ascii="Times New Roman" w:hAnsi="Times New Roman" w:cs="Times New Roman"/>
                <w:sz w:val="20"/>
                <w:szCs w:val="20"/>
              </w:rPr>
              <w:t>Optimize</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the</w:t>
            </w:r>
            <w:proofErr w:type="spellEnd"/>
            <w:r w:rsidRPr="00BD64E1">
              <w:rPr>
                <w:rFonts w:ascii="Times New Roman" w:hAnsi="Times New Roman" w:cs="Times New Roman"/>
                <w:sz w:val="20"/>
                <w:szCs w:val="20"/>
              </w:rPr>
              <w:t xml:space="preserve"> GNSS </w:t>
            </w:r>
            <w:proofErr w:type="spellStart"/>
            <w:r w:rsidRPr="00BD64E1">
              <w:rPr>
                <w:rFonts w:ascii="Times New Roman" w:hAnsi="Times New Roman" w:cs="Times New Roman"/>
                <w:sz w:val="20"/>
                <w:szCs w:val="20"/>
              </w:rPr>
              <w:t>operation</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with</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sparse</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use</w:t>
            </w:r>
            <w:proofErr w:type="spellEnd"/>
            <w:r w:rsidRPr="00BD64E1">
              <w:rPr>
                <w:rFonts w:ascii="Times New Roman" w:hAnsi="Times New Roman" w:cs="Times New Roman"/>
                <w:sz w:val="20"/>
                <w:szCs w:val="20"/>
              </w:rPr>
              <w:t xml:space="preserve"> of GNSS and </w:t>
            </w:r>
            <w:proofErr w:type="spellStart"/>
            <w:r w:rsidRPr="00BD64E1">
              <w:rPr>
                <w:rFonts w:ascii="Times New Roman" w:hAnsi="Times New Roman" w:cs="Times New Roman"/>
                <w:sz w:val="20"/>
                <w:szCs w:val="20"/>
              </w:rPr>
              <w:t>power</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efficiency</w:t>
            </w:r>
            <w:proofErr w:type="spellEnd"/>
            <w:r w:rsidRPr="00BD64E1">
              <w:rPr>
                <w:rFonts w:ascii="Times New Roman" w:hAnsi="Times New Roman" w:cs="Times New Roman"/>
                <w:sz w:val="20"/>
                <w:szCs w:val="20"/>
              </w:rPr>
              <w:t xml:space="preserve"> for long-</w:t>
            </w:r>
            <w:proofErr w:type="spellStart"/>
            <w:r w:rsidRPr="00BD64E1">
              <w:rPr>
                <w:rFonts w:ascii="Times New Roman" w:hAnsi="Times New Roman" w:cs="Times New Roman"/>
                <w:sz w:val="20"/>
                <w:szCs w:val="20"/>
              </w:rPr>
              <w:t>term</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connection</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compared</w:t>
            </w:r>
            <w:proofErr w:type="spellEnd"/>
            <w:r w:rsidRPr="00BD64E1">
              <w:rPr>
                <w:rFonts w:ascii="Times New Roman" w:hAnsi="Times New Roman" w:cs="Times New Roman"/>
                <w:sz w:val="20"/>
                <w:szCs w:val="20"/>
              </w:rPr>
              <w:t xml:space="preserve"> to Rel-17)</w:t>
            </w:r>
          </w:p>
          <w:p w14:paraId="2E06816F" w14:textId="18EE159F" w:rsidR="004B7159" w:rsidRPr="00BD64E1" w:rsidRDefault="00EB6B5C" w:rsidP="004B7159">
            <w:pPr>
              <w:pStyle w:val="ListParagraph"/>
              <w:numPr>
                <w:ilvl w:val="0"/>
                <w:numId w:val="10"/>
              </w:numPr>
              <w:rPr>
                <w:rFonts w:ascii="Times New Roman" w:hAnsi="Times New Roman" w:cs="Times New Roman"/>
                <w:sz w:val="20"/>
                <w:szCs w:val="20"/>
              </w:rPr>
            </w:pPr>
            <w:proofErr w:type="spellStart"/>
            <w:r w:rsidRPr="00BD64E1">
              <w:rPr>
                <w:rFonts w:ascii="Times New Roman" w:hAnsi="Times New Roman" w:cs="Times New Roman"/>
                <w:sz w:val="20"/>
                <w:szCs w:val="20"/>
              </w:rPr>
              <w:t>Further</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enhance</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support</w:t>
            </w:r>
            <w:proofErr w:type="spellEnd"/>
            <w:r w:rsidRPr="00BD64E1">
              <w:rPr>
                <w:rFonts w:ascii="Times New Roman" w:hAnsi="Times New Roman" w:cs="Times New Roman"/>
                <w:sz w:val="20"/>
                <w:szCs w:val="20"/>
              </w:rPr>
              <w:t xml:space="preserve"> for </w:t>
            </w:r>
            <w:proofErr w:type="spellStart"/>
            <w:r w:rsidRPr="00BD64E1">
              <w:rPr>
                <w:rFonts w:ascii="Times New Roman" w:hAnsi="Times New Roman" w:cs="Times New Roman"/>
                <w:sz w:val="20"/>
                <w:szCs w:val="20"/>
              </w:rPr>
              <w:t>discontinuous</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coverage</w:t>
            </w:r>
            <w:proofErr w:type="spellEnd"/>
            <w:r w:rsidRPr="00BD64E1">
              <w:rPr>
                <w:rFonts w:ascii="Times New Roman" w:hAnsi="Times New Roman" w:cs="Times New Roman"/>
                <w:sz w:val="20"/>
                <w:szCs w:val="20"/>
              </w:rPr>
              <w:t xml:space="preserve"> </w:t>
            </w:r>
          </w:p>
          <w:p w14:paraId="3C5DC47C" w14:textId="0ACB22E6" w:rsidR="00EB6B5C" w:rsidRPr="00BD64E1" w:rsidRDefault="00EB6B5C" w:rsidP="004B7159">
            <w:r w:rsidRPr="00BD64E1">
              <w:t>NOTE:    It is expected a UE can move while under discontinuous coverage.</w:t>
            </w:r>
          </w:p>
        </w:tc>
      </w:tr>
    </w:tbl>
    <w:p w14:paraId="3BC09D53" w14:textId="576249E4" w:rsidR="00EB6B5C" w:rsidRPr="00BD64E1" w:rsidRDefault="00EB6B5C" w:rsidP="009339CB">
      <w:r w:rsidRPr="00BD64E1">
        <w:t xml:space="preserve">It is </w:t>
      </w:r>
      <w:r w:rsidR="007F528C" w:rsidRPr="00BD64E1">
        <w:t xml:space="preserve">important </w:t>
      </w:r>
      <w:r w:rsidRPr="00BD64E1">
        <w:t xml:space="preserve">to note that the justification </w:t>
      </w:r>
      <w:r w:rsidR="00C96C8F" w:rsidRPr="00BD64E1">
        <w:t>covers the fact that a UE may move while under discontinuous coverage.</w:t>
      </w:r>
    </w:p>
    <w:p w14:paraId="2C83E05E" w14:textId="70B9985A" w:rsidR="003424E9" w:rsidRPr="00BD64E1" w:rsidRDefault="00351652" w:rsidP="009339CB">
      <w:r w:rsidRPr="00BD64E1">
        <w:t xml:space="preserve">In this contribution, we provide our view on </w:t>
      </w:r>
      <w:r w:rsidR="00C96C8F" w:rsidRPr="00BD64E1">
        <w:t>potential enhancements for discontinuous coverage</w:t>
      </w:r>
      <w:r w:rsidRPr="00BD64E1">
        <w:t>.</w:t>
      </w:r>
    </w:p>
    <w:p w14:paraId="7D484B6E" w14:textId="2062289D" w:rsidR="009339CB" w:rsidRPr="00BD64E1" w:rsidRDefault="009339CB" w:rsidP="009339CB">
      <w:pPr>
        <w:pStyle w:val="Heading1"/>
      </w:pPr>
      <w:r w:rsidRPr="00BD64E1">
        <w:t>2</w:t>
      </w:r>
      <w:r w:rsidRPr="00BD64E1">
        <w:tab/>
      </w:r>
      <w:r w:rsidR="00B22625" w:rsidRPr="00BD64E1">
        <w:rPr>
          <w:rFonts w:eastAsia="Times New Roman"/>
        </w:rPr>
        <w:t>Discussion</w:t>
      </w:r>
    </w:p>
    <w:p w14:paraId="4DA2F5DB" w14:textId="48BEEC29" w:rsidR="007F528C" w:rsidRPr="00BD64E1" w:rsidRDefault="007F528C" w:rsidP="00521EBA">
      <w:pPr>
        <w:pStyle w:val="Heading2"/>
        <w:rPr>
          <w:rStyle w:val="Emphasis"/>
          <w:i w:val="0"/>
          <w:iCs w:val="0"/>
        </w:rPr>
      </w:pPr>
      <w:r w:rsidRPr="00BD64E1">
        <w:rPr>
          <w:rStyle w:val="Emphasis"/>
          <w:i w:val="0"/>
          <w:iCs w:val="0"/>
        </w:rPr>
        <w:t xml:space="preserve">2.1 </w:t>
      </w:r>
      <w:r w:rsidR="001316E6" w:rsidRPr="00BD64E1">
        <w:rPr>
          <w:rStyle w:val="Emphasis"/>
          <w:i w:val="0"/>
          <w:iCs w:val="0"/>
        </w:rPr>
        <w:t>SA2 study outcome</w:t>
      </w:r>
    </w:p>
    <w:p w14:paraId="6953CB0D" w14:textId="4265683F" w:rsidR="001316E6" w:rsidRPr="00BD64E1" w:rsidRDefault="004D44CC" w:rsidP="001316E6">
      <w:r w:rsidRPr="00BD64E1">
        <w:t>At SA</w:t>
      </w:r>
      <w:r w:rsidR="00610BD2" w:rsidRPr="00BD64E1">
        <w:t>#98e the SA2 study FS_5GSAT_Ph2 was concluded. The outcome is document in TR 23.700-28</w:t>
      </w:r>
      <w:r w:rsidR="00AB570B" w:rsidRPr="00BD64E1">
        <w:t xml:space="preserve"> </w:t>
      </w:r>
      <w:r w:rsidR="00AB570B" w:rsidRPr="00BD64E1">
        <w:fldChar w:fldCharType="begin"/>
      </w:r>
      <w:r w:rsidR="00AB570B" w:rsidRPr="00BD64E1">
        <w:instrText xml:space="preserve"> REF _Ref109826614 \r \h </w:instrText>
      </w:r>
      <w:r w:rsidR="00BD64E1">
        <w:instrText xml:space="preserve"> \* MERGEFORMAT </w:instrText>
      </w:r>
      <w:r w:rsidR="00AB570B" w:rsidRPr="00BD64E1">
        <w:fldChar w:fldCharType="separate"/>
      </w:r>
      <w:r w:rsidR="0006656D" w:rsidRPr="00BD64E1">
        <w:t>[2]</w:t>
      </w:r>
      <w:r w:rsidR="00AB570B" w:rsidRPr="00BD64E1">
        <w:fldChar w:fldCharType="end"/>
      </w:r>
      <w:r w:rsidR="00DE6263" w:rsidRPr="00BD64E1">
        <w:t xml:space="preserve"> and defines the system </w:t>
      </w:r>
      <w:r w:rsidR="0074089D" w:rsidRPr="00BD64E1">
        <w:t>behaviour</w:t>
      </w:r>
      <w:r w:rsidR="00DE6263" w:rsidRPr="00BD64E1">
        <w:t xml:space="preserve"> as follows:</w:t>
      </w:r>
    </w:p>
    <w:tbl>
      <w:tblPr>
        <w:tblStyle w:val="TableGrid"/>
        <w:tblW w:w="0" w:type="auto"/>
        <w:tblLook w:val="04A0" w:firstRow="1" w:lastRow="0" w:firstColumn="1" w:lastColumn="0" w:noHBand="0" w:noVBand="1"/>
      </w:tblPr>
      <w:tblGrid>
        <w:gridCol w:w="9631"/>
      </w:tblGrid>
      <w:tr w:rsidR="00DE6263" w:rsidRPr="00BD64E1" w14:paraId="300279D1" w14:textId="77777777" w:rsidTr="00DE6263">
        <w:tc>
          <w:tcPr>
            <w:tcW w:w="9631" w:type="dxa"/>
          </w:tcPr>
          <w:p w14:paraId="4A0EEEAD" w14:textId="77777777" w:rsidR="00DE6263" w:rsidRPr="00BD64E1" w:rsidRDefault="00DE6263" w:rsidP="00DE6263">
            <w:r w:rsidRPr="00BD64E1">
              <w:t>Principles of system behaviour:</w:t>
            </w:r>
          </w:p>
          <w:p w14:paraId="39E73498" w14:textId="77777777" w:rsidR="00DE6263" w:rsidRPr="00BD64E1" w:rsidRDefault="00DE6263" w:rsidP="00DE6263">
            <w:pPr>
              <w:pStyle w:val="B1"/>
            </w:pPr>
            <w:r w:rsidRPr="00BD64E1">
              <w:t>-</w:t>
            </w:r>
            <w:r w:rsidRPr="00BD64E1">
              <w:tab/>
              <w:t>NTN MEO/LEO satellite or satellite constellation that provides discontinuous coverage is considered as the satellite access in 5GS and EPS for the power saving enhancement and UE unreachability period can be provided to both the UE and AMF/MME.</w:t>
            </w:r>
          </w:p>
          <w:p w14:paraId="75D98B93" w14:textId="77777777" w:rsidR="00DE6263" w:rsidRPr="00BD64E1" w:rsidRDefault="00DE6263" w:rsidP="00DE6263">
            <w:pPr>
              <w:pStyle w:val="B1"/>
            </w:pPr>
            <w:r w:rsidRPr="00BD64E1">
              <w:t>-</w:t>
            </w:r>
            <w:r w:rsidRPr="00BD64E1">
              <w:tab/>
              <w:t>UE unreachability period provided to the UE and/or AMF/MME shall include either timing information when UE moves out/in of NTN coverage or information on satellite coverage at current and potential future locations of the UE.</w:t>
            </w:r>
          </w:p>
          <w:p w14:paraId="4CF00BD3" w14:textId="75EBF616" w:rsidR="00DE6263" w:rsidRPr="00BD64E1" w:rsidRDefault="00DE6263" w:rsidP="00DE6263">
            <w:pPr>
              <w:pStyle w:val="B1"/>
            </w:pPr>
            <w:r w:rsidRPr="00BD64E1">
              <w:lastRenderedPageBreak/>
              <w:t>-</w:t>
            </w:r>
            <w:r w:rsidRPr="00BD64E1">
              <w:tab/>
              <w:t>Both network centric and UE centric procedures are used to determine and coordinate the UE unreachability period. These two approaches are not mutually exclusive, they serve different use cases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w:t>
            </w:r>
          </w:p>
        </w:tc>
      </w:tr>
    </w:tbl>
    <w:p w14:paraId="5934005E" w14:textId="5E9A99F3" w:rsidR="00EB25FA" w:rsidRPr="00BD64E1" w:rsidRDefault="0057016B" w:rsidP="0057016B">
      <w:pPr>
        <w:spacing w:before="240"/>
      </w:pPr>
      <w:r w:rsidRPr="00BD64E1">
        <w:lastRenderedPageBreak/>
        <w:t xml:space="preserve">Thus, the core network (AMF/MME) and/or UE is responsible for determining the “unreachability period”, which corresponds to the time the UE is in discontinuous coverage. </w:t>
      </w:r>
      <w:r w:rsidR="009E687A" w:rsidRPr="00BD64E1">
        <w:t xml:space="preserve">The exchange and negotiation </w:t>
      </w:r>
      <w:r w:rsidR="009172A6" w:rsidRPr="00BD64E1">
        <w:t xml:space="preserve">of such “unreachability period(s)” rely on higher layer </w:t>
      </w:r>
      <w:r w:rsidR="0074089D" w:rsidRPr="00BD64E1">
        <w:t>signalling</w:t>
      </w:r>
      <w:r w:rsidR="009172A6" w:rsidRPr="00BD64E1">
        <w:t xml:space="preserve"> and is thus out of scope for RAN2. </w:t>
      </w:r>
    </w:p>
    <w:p w14:paraId="554115BE" w14:textId="785B232F" w:rsidR="009172A6" w:rsidRPr="00BD64E1" w:rsidRDefault="009172A6" w:rsidP="0057016B">
      <w:pPr>
        <w:spacing w:before="240"/>
        <w:rPr>
          <w:b/>
          <w:bCs/>
        </w:rPr>
      </w:pPr>
      <w:r w:rsidRPr="00BD64E1">
        <w:rPr>
          <w:b/>
          <w:bCs/>
        </w:rPr>
        <w:t>Observation</w:t>
      </w:r>
      <w:r w:rsidR="00AB570B" w:rsidRPr="00BD64E1">
        <w:rPr>
          <w:b/>
          <w:bCs/>
        </w:rPr>
        <w:t xml:space="preserve"> 1</w:t>
      </w:r>
      <w:r w:rsidRPr="00BD64E1">
        <w:rPr>
          <w:b/>
          <w:bCs/>
        </w:rPr>
        <w:t>: The signal</w:t>
      </w:r>
      <w:r w:rsidR="00D974A2" w:rsidRPr="00BD64E1">
        <w:rPr>
          <w:b/>
          <w:bCs/>
        </w:rPr>
        <w:t>l</w:t>
      </w:r>
      <w:r w:rsidRPr="00BD64E1">
        <w:rPr>
          <w:b/>
          <w:bCs/>
        </w:rPr>
        <w:t>ing of unreachability periods is out of RAN2’s scope</w:t>
      </w:r>
      <w:r w:rsidR="00D974A2" w:rsidRPr="00BD64E1">
        <w:rPr>
          <w:b/>
          <w:bCs/>
        </w:rPr>
        <w:t>.</w:t>
      </w:r>
    </w:p>
    <w:p w14:paraId="38D264FC" w14:textId="26C11AF5" w:rsidR="0057016B" w:rsidRPr="00BD64E1" w:rsidRDefault="00EB25FA" w:rsidP="0057016B">
      <w:pPr>
        <w:spacing w:before="240"/>
      </w:pPr>
      <w:r w:rsidRPr="00BD64E1">
        <w:t>The report defines the following UE aspects:</w:t>
      </w:r>
    </w:p>
    <w:tbl>
      <w:tblPr>
        <w:tblStyle w:val="TableGrid"/>
        <w:tblW w:w="0" w:type="auto"/>
        <w:tblLook w:val="04A0" w:firstRow="1" w:lastRow="0" w:firstColumn="1" w:lastColumn="0" w:noHBand="0" w:noVBand="1"/>
      </w:tblPr>
      <w:tblGrid>
        <w:gridCol w:w="9631"/>
      </w:tblGrid>
      <w:tr w:rsidR="00EB25FA" w:rsidRPr="00BD64E1" w14:paraId="04D8D9C7" w14:textId="77777777" w:rsidTr="00EB25FA">
        <w:tc>
          <w:tcPr>
            <w:tcW w:w="9631" w:type="dxa"/>
          </w:tcPr>
          <w:p w14:paraId="359E2AA7" w14:textId="77777777" w:rsidR="00EB25FA" w:rsidRPr="00BD64E1" w:rsidRDefault="00EB25FA" w:rsidP="00EB25FA">
            <w:r w:rsidRPr="00BD64E1">
              <w:t>Regarding which information UE has and how UE retrieves it:</w:t>
            </w:r>
          </w:p>
          <w:p w14:paraId="0FD707C3" w14:textId="77777777" w:rsidR="00EB25FA" w:rsidRPr="00BD64E1" w:rsidRDefault="00EB25FA" w:rsidP="00EB25FA">
            <w:pPr>
              <w:pStyle w:val="B1"/>
            </w:pPr>
            <w:r w:rsidRPr="00BD64E1">
              <w:t>-</w:t>
            </w:r>
            <w:r w:rsidRPr="00BD64E1">
              <w:tab/>
              <w:t>If possible, accurate UE coverage information is shared with UE, i.e. UE coverage information received from the network with enhanced solution compared to Rel-17.</w:t>
            </w:r>
          </w:p>
          <w:p w14:paraId="47517511" w14:textId="77777777" w:rsidR="00EB25FA" w:rsidRPr="00BD64E1" w:rsidRDefault="00EB25FA" w:rsidP="00EB25FA">
            <w:pPr>
              <w:pStyle w:val="B1"/>
            </w:pPr>
            <w:r w:rsidRPr="00BD64E1">
              <w:t>-</w:t>
            </w:r>
            <w:r w:rsidRPr="00BD64E1">
              <w:tab/>
              <w:t>Satellite coverage data may be transferred to a UE from an external server or an AF.</w:t>
            </w:r>
          </w:p>
          <w:p w14:paraId="1B04F3FB" w14:textId="77777777" w:rsidR="00EB25FA" w:rsidRPr="00BD64E1" w:rsidRDefault="00EB25FA" w:rsidP="00EB25FA">
            <w:pPr>
              <w:pStyle w:val="B1"/>
            </w:pPr>
            <w:r w:rsidRPr="00BD64E1">
              <w:t>-</w:t>
            </w:r>
            <w:r w:rsidRPr="00BD64E1">
              <w:tab/>
              <w:t>Following Rel-17, the UE has satellite assistance information for predication of discontinuous coverage from RAN broadcasts.</w:t>
            </w:r>
          </w:p>
          <w:p w14:paraId="28109FC1" w14:textId="77777777" w:rsidR="00EB25FA" w:rsidRPr="00BD64E1" w:rsidRDefault="00EB25FA" w:rsidP="00EB25FA">
            <w:pPr>
              <w:pStyle w:val="EditorsNote"/>
            </w:pPr>
            <w:r w:rsidRPr="00BD64E1">
              <w:t>Editor's note:</w:t>
            </w:r>
            <w:r w:rsidRPr="00BD64E1">
              <w:tab/>
              <w:t>LS need to have feedback from CT1 on whether UP or NAS via an AMF/MME (CP) will be used for the transfer depends on the discussion.</w:t>
            </w:r>
          </w:p>
          <w:p w14:paraId="20CD721A" w14:textId="77777777" w:rsidR="00EB25FA" w:rsidRPr="00BD64E1" w:rsidRDefault="00EB25FA" w:rsidP="00EB25FA">
            <w:r w:rsidRPr="00BD64E1">
              <w:t>Regarding the role of the UE:</w:t>
            </w:r>
          </w:p>
          <w:p w14:paraId="79C7E63E" w14:textId="08F6CCE6" w:rsidR="00EB25FA" w:rsidRPr="00BD64E1" w:rsidRDefault="00EB25FA" w:rsidP="00EB25FA">
            <w:pPr>
              <w:pStyle w:val="B1"/>
            </w:pPr>
            <w:r w:rsidRPr="00BD64E1">
              <w:t>-</w:t>
            </w:r>
            <w:r w:rsidRPr="00BD64E1">
              <w:tab/>
              <w:t>The capability for the UE to be able to determine requested NAS timer values and MICO/PSM parameters based on its predicted UE unreachability periods needs to be specified. A UE that uses power saving initiates a NAS procedure, with sufficient time to complete the NAS procedure before the start of the unreachability period, and negotiates timer values and power saving parameters with AMF/MME as per existing specifications.</w:t>
            </w:r>
          </w:p>
        </w:tc>
      </w:tr>
    </w:tbl>
    <w:p w14:paraId="1235BF45" w14:textId="32CFB7B5" w:rsidR="00EB25FA" w:rsidRPr="00BD64E1" w:rsidRDefault="005E5310" w:rsidP="0057016B">
      <w:pPr>
        <w:spacing w:before="240"/>
      </w:pPr>
      <w:r w:rsidRPr="00BD64E1">
        <w:t xml:space="preserve">Based on the SA2 conclusions, the UE must have satellite assistance information to predict the discontinuous coverage and a capability to </w:t>
      </w:r>
      <w:r w:rsidR="00F55B25" w:rsidRPr="00BD64E1">
        <w:t xml:space="preserve">predict unreachability periods and determine the related timers &amp; parameters. </w:t>
      </w:r>
      <w:r w:rsidR="00E811C7" w:rsidRPr="00BD64E1">
        <w:t xml:space="preserve">The satellite assistance information can be provided </w:t>
      </w:r>
      <w:r w:rsidR="00256EC1" w:rsidRPr="00BD64E1">
        <w:t xml:space="preserve">as RAN broadcast, which was already specified via SIB32 in release 17 or as a direct data transfer from </w:t>
      </w:r>
      <w:r w:rsidR="00543876" w:rsidRPr="00BD64E1">
        <w:t>an application function or external server.</w:t>
      </w:r>
    </w:p>
    <w:p w14:paraId="6065064F" w14:textId="4EF1405A" w:rsidR="00E811C7" w:rsidRPr="00BD64E1" w:rsidRDefault="00E811C7" w:rsidP="0057016B">
      <w:pPr>
        <w:spacing w:before="240"/>
        <w:rPr>
          <w:b/>
          <w:bCs/>
        </w:rPr>
      </w:pPr>
      <w:r w:rsidRPr="00BD64E1">
        <w:rPr>
          <w:b/>
          <w:bCs/>
        </w:rPr>
        <w:t>Observation</w:t>
      </w:r>
      <w:r w:rsidR="00AB570B" w:rsidRPr="00BD64E1">
        <w:rPr>
          <w:b/>
          <w:bCs/>
        </w:rPr>
        <w:t xml:space="preserve"> 2</w:t>
      </w:r>
      <w:r w:rsidRPr="00BD64E1">
        <w:rPr>
          <w:b/>
          <w:bCs/>
        </w:rPr>
        <w:t xml:space="preserve">: </w:t>
      </w:r>
      <w:r w:rsidR="00891BB7" w:rsidRPr="00BD64E1">
        <w:rPr>
          <w:b/>
          <w:bCs/>
        </w:rPr>
        <w:t>SA2 conclusions require the UE has satellite assistance information to predict the discontinuous coverage.</w:t>
      </w:r>
    </w:p>
    <w:p w14:paraId="4C5DDBF1" w14:textId="34E82E85" w:rsidR="00891BB7" w:rsidRPr="00BD64E1" w:rsidRDefault="00891BB7" w:rsidP="0057016B">
      <w:pPr>
        <w:spacing w:before="240"/>
        <w:rPr>
          <w:b/>
          <w:bCs/>
        </w:rPr>
      </w:pPr>
      <w:r w:rsidRPr="00BD64E1">
        <w:rPr>
          <w:b/>
          <w:bCs/>
        </w:rPr>
        <w:t>Observation</w:t>
      </w:r>
      <w:r w:rsidR="00AB570B" w:rsidRPr="00BD64E1">
        <w:rPr>
          <w:b/>
          <w:bCs/>
        </w:rPr>
        <w:t xml:space="preserve"> 3</w:t>
      </w:r>
      <w:r w:rsidRPr="00BD64E1">
        <w:rPr>
          <w:b/>
          <w:bCs/>
        </w:rPr>
        <w:t xml:space="preserve">: SA2 conclusions require a UE capability </w:t>
      </w:r>
      <w:r w:rsidR="00C81BDF" w:rsidRPr="00BD64E1">
        <w:rPr>
          <w:b/>
          <w:bCs/>
        </w:rPr>
        <w:t>to predict unreachability periods and determining of related timers &amp; parameters.</w:t>
      </w:r>
    </w:p>
    <w:p w14:paraId="232EE5ED" w14:textId="1803FD1E" w:rsidR="00521EBA" w:rsidRPr="00BD64E1" w:rsidRDefault="00974304" w:rsidP="00521EBA">
      <w:pPr>
        <w:pStyle w:val="Heading2"/>
        <w:rPr>
          <w:rStyle w:val="Emphasis"/>
          <w:i w:val="0"/>
          <w:iCs w:val="0"/>
        </w:rPr>
      </w:pPr>
      <w:r w:rsidRPr="00BD64E1">
        <w:rPr>
          <w:rStyle w:val="Emphasis"/>
          <w:i w:val="0"/>
          <w:iCs w:val="0"/>
        </w:rPr>
        <w:t>2.</w:t>
      </w:r>
      <w:r w:rsidR="00E46FDF" w:rsidRPr="00BD64E1">
        <w:rPr>
          <w:rStyle w:val="Emphasis"/>
          <w:i w:val="0"/>
          <w:iCs w:val="0"/>
        </w:rPr>
        <w:t>2</w:t>
      </w:r>
      <w:r w:rsidRPr="00BD64E1">
        <w:rPr>
          <w:rStyle w:val="Emphasis"/>
          <w:i w:val="0"/>
          <w:iCs w:val="0"/>
        </w:rPr>
        <w:t xml:space="preserve"> </w:t>
      </w:r>
      <w:r w:rsidR="00FC306F" w:rsidRPr="00BD64E1">
        <w:rPr>
          <w:rStyle w:val="Emphasis"/>
          <w:i w:val="0"/>
          <w:iCs w:val="0"/>
        </w:rPr>
        <w:t>Satellite assistance information</w:t>
      </w:r>
    </w:p>
    <w:p w14:paraId="0233880C" w14:textId="1C349391" w:rsidR="00C852ED" w:rsidRPr="00BD64E1" w:rsidRDefault="00A85A06" w:rsidP="00D02438">
      <w:r w:rsidRPr="00BD64E1">
        <w:t xml:space="preserve">In release 17 it was agreed that SIB32 provides </w:t>
      </w:r>
      <w:r w:rsidR="00500DC7" w:rsidRPr="00BD64E1">
        <w:t>satellite assistance information for up to 4 satellites. This enables the UE predict</w:t>
      </w:r>
      <w:r w:rsidR="005C48C5" w:rsidRPr="00BD64E1">
        <w:t>s</w:t>
      </w:r>
      <w:r w:rsidR="00500DC7" w:rsidRPr="00BD64E1">
        <w:t xml:space="preserve"> </w:t>
      </w:r>
      <w:r w:rsidR="009B407C" w:rsidRPr="00BD64E1">
        <w:t xml:space="preserve">(4) </w:t>
      </w:r>
      <w:r w:rsidR="00500DC7" w:rsidRPr="00BD64E1">
        <w:t>future coverage windows, while in discontinuous coverage</w:t>
      </w:r>
      <w:r w:rsidR="00891ABB" w:rsidRPr="00BD64E1">
        <w:t xml:space="preserve">, because the satellite assistance information defines the satellite ephemeris and radio coverage (footprint) information. </w:t>
      </w:r>
      <w:r w:rsidR="00E6256B" w:rsidRPr="00BD64E1">
        <w:t>The information is limited to 4 satellites due to the limited system information transport block size, which for NB-IoT is 680 bits.</w:t>
      </w:r>
    </w:p>
    <w:p w14:paraId="2DDB5C3B" w14:textId="63CF50AB" w:rsidR="00F0669C" w:rsidRPr="00BD64E1" w:rsidRDefault="00F0669C" w:rsidP="00D02438">
      <w:r w:rsidRPr="00BD64E1">
        <w:t xml:space="preserve">As noted in the introduction, the UE may move while in the discontinuous coverage scenario. The SA2 also discussed this aspect </w:t>
      </w:r>
      <w:r w:rsidR="007D1403" w:rsidRPr="00BD64E1">
        <w:t xml:space="preserve">and </w:t>
      </w:r>
      <w:r w:rsidR="008D4505" w:rsidRPr="00BD64E1">
        <w:t>concluded</w:t>
      </w:r>
      <w:r w:rsidR="007D1403" w:rsidRPr="00BD64E1">
        <w:t xml:space="preserve"> the following</w:t>
      </w:r>
      <w:r w:rsidR="008D4505" w:rsidRPr="00BD64E1">
        <w:t>:</w:t>
      </w:r>
    </w:p>
    <w:tbl>
      <w:tblPr>
        <w:tblStyle w:val="TableGrid"/>
        <w:tblW w:w="0" w:type="auto"/>
        <w:tblLook w:val="04A0" w:firstRow="1" w:lastRow="0" w:firstColumn="1" w:lastColumn="0" w:noHBand="0" w:noVBand="1"/>
      </w:tblPr>
      <w:tblGrid>
        <w:gridCol w:w="9631"/>
      </w:tblGrid>
      <w:tr w:rsidR="008D4505" w:rsidRPr="00BD64E1" w14:paraId="47774051" w14:textId="77777777" w:rsidTr="008D4505">
        <w:tc>
          <w:tcPr>
            <w:tcW w:w="9631" w:type="dxa"/>
          </w:tcPr>
          <w:p w14:paraId="3548DDF1" w14:textId="283E7093" w:rsidR="008D4505" w:rsidRPr="00BD64E1" w:rsidRDefault="008D4505" w:rsidP="008D4505">
            <w:pPr>
              <w:pStyle w:val="B1"/>
            </w:pPr>
            <w:r w:rsidRPr="00BD64E1">
              <w:t>-</w:t>
            </w:r>
            <w:r w:rsidRPr="00BD64E1">
              <w:tab/>
              <w:t xml:space="preserve">AMF/MME obtains UE unreachability period information (timing information when UE moves out/in of NTN coverage) from an AF via the NEF/SCEF, from the UE or from OAM. The AMF/MME also takes into account UE </w:t>
            </w:r>
            <w:bookmarkStart w:id="0" w:name="_Hlk127351973"/>
            <w:r w:rsidRPr="00BD64E1">
              <w:t>location/mobility/trajectory information</w:t>
            </w:r>
            <w:bookmarkEnd w:id="0"/>
            <w:r w:rsidRPr="00BD64E1">
              <w:t>.</w:t>
            </w:r>
          </w:p>
        </w:tc>
      </w:tr>
    </w:tbl>
    <w:p w14:paraId="50A90881" w14:textId="16B1951D" w:rsidR="008141A2" w:rsidRPr="00BD64E1" w:rsidRDefault="00F05262" w:rsidP="00F05262">
      <w:pPr>
        <w:spacing w:before="240"/>
      </w:pPr>
      <w:r w:rsidRPr="00BD64E1">
        <w:lastRenderedPageBreak/>
        <w:t>In some scenarios, the UE may also be aware of this location/mobility/trajectory information.</w:t>
      </w:r>
      <w:r w:rsidR="00A50E52" w:rsidRPr="00BD64E1">
        <w:t xml:space="preserve"> Such information may enable the UE to determine that the information provided in SIB32 is not relevant for the future location(s) of the UE</w:t>
      </w:r>
      <w:r w:rsidR="00F16940" w:rsidRPr="00BD64E1">
        <w:t xml:space="preserve">. </w:t>
      </w:r>
      <w:r w:rsidR="00EA31CA" w:rsidRPr="00BD64E1">
        <w:t>The</w:t>
      </w:r>
      <w:r w:rsidR="003B1E60" w:rsidRPr="00BD64E1">
        <w:t xml:space="preserve">refore, the UE may be forced to </w:t>
      </w:r>
      <w:r w:rsidR="00F1780E" w:rsidRPr="00BD64E1">
        <w:t xml:space="preserve">read additional future SIB32s to </w:t>
      </w:r>
      <w:r w:rsidR="006149E0" w:rsidRPr="00BD64E1">
        <w:t>eventually receive the satellite assistance information, which fits the time &amp; location where the UE expects to be active again.</w:t>
      </w:r>
    </w:p>
    <w:p w14:paraId="3B353B2A" w14:textId="17FE2B40" w:rsidR="008D4505" w:rsidRPr="00BD64E1" w:rsidRDefault="008141A2" w:rsidP="00F05262">
      <w:pPr>
        <w:spacing w:before="240"/>
      </w:pPr>
      <w:r w:rsidRPr="00BD64E1">
        <w:rPr>
          <w:b/>
          <w:bCs/>
        </w:rPr>
        <w:t>Observation</w:t>
      </w:r>
      <w:r w:rsidR="005078C3" w:rsidRPr="00BD64E1">
        <w:rPr>
          <w:b/>
          <w:bCs/>
        </w:rPr>
        <w:t xml:space="preserve"> </w:t>
      </w:r>
      <w:r w:rsidR="000F46C7" w:rsidRPr="00BD64E1">
        <w:rPr>
          <w:b/>
          <w:bCs/>
        </w:rPr>
        <w:t>4</w:t>
      </w:r>
      <w:r w:rsidRPr="00BD64E1">
        <w:rPr>
          <w:b/>
          <w:bCs/>
        </w:rPr>
        <w:t>: UE may determine that the SIB32 satellite assistance information is not relevant for the future location(s) of the UE.</w:t>
      </w:r>
      <w:r w:rsidR="00A406C7" w:rsidRPr="00BD64E1">
        <w:t xml:space="preserve"> </w:t>
      </w:r>
    </w:p>
    <w:p w14:paraId="142676D4" w14:textId="77777777" w:rsidR="00780441" w:rsidRPr="00BD64E1" w:rsidRDefault="008141A2" w:rsidP="0058605D">
      <w:r w:rsidRPr="00BD64E1">
        <w:t>This issue can either be addressed by the network providing additional broadcast information</w:t>
      </w:r>
      <w:r w:rsidR="00C41C90" w:rsidRPr="00BD64E1">
        <w:t xml:space="preserve"> or via dedicated RRC signalling</w:t>
      </w:r>
      <w:r w:rsidR="003B242D" w:rsidRPr="00BD64E1">
        <w:t xml:space="preserve"> of additional satellite assistance information to the UE</w:t>
      </w:r>
      <w:r w:rsidR="00C41C90" w:rsidRPr="00BD64E1">
        <w:t xml:space="preserve">. </w:t>
      </w:r>
    </w:p>
    <w:p w14:paraId="460DA78D" w14:textId="77777777" w:rsidR="00780441" w:rsidRPr="00BD64E1" w:rsidRDefault="00780441" w:rsidP="00780441">
      <w:r w:rsidRPr="00BD64E1">
        <w:t>At RAN2#121 the following was agreed:</w:t>
      </w:r>
    </w:p>
    <w:tbl>
      <w:tblPr>
        <w:tblStyle w:val="TableGrid"/>
        <w:tblW w:w="0" w:type="auto"/>
        <w:tblLook w:val="04A0" w:firstRow="1" w:lastRow="0" w:firstColumn="1" w:lastColumn="0" w:noHBand="0" w:noVBand="1"/>
      </w:tblPr>
      <w:tblGrid>
        <w:gridCol w:w="9631"/>
      </w:tblGrid>
      <w:tr w:rsidR="00780441" w:rsidRPr="00BD64E1" w14:paraId="2FB804F8" w14:textId="77777777" w:rsidTr="00471FFC">
        <w:tc>
          <w:tcPr>
            <w:tcW w:w="9631" w:type="dxa"/>
          </w:tcPr>
          <w:p w14:paraId="14E1A65D" w14:textId="77777777" w:rsidR="00780441" w:rsidRPr="00BD64E1" w:rsidRDefault="00780441" w:rsidP="00471FFC">
            <w:pPr>
              <w:rPr>
                <w:lang w:val="en-US"/>
              </w:rPr>
            </w:pPr>
            <w:r w:rsidRPr="00BD64E1">
              <w:t>RAN2 can continue to check whether dedicated RRC signalling can be used for providing satellite information corresponding to discontinuous coverage.</w:t>
            </w:r>
          </w:p>
        </w:tc>
      </w:tr>
    </w:tbl>
    <w:p w14:paraId="2BDE3A40" w14:textId="25AD27E2" w:rsidR="00F16940" w:rsidRPr="00BD64E1" w:rsidRDefault="005F34F4" w:rsidP="0058605D">
      <w:r w:rsidRPr="00BD64E1">
        <w:t xml:space="preserve">In our view, the dedicated RRC signalling </w:t>
      </w:r>
      <w:r w:rsidR="004D0B9C" w:rsidRPr="00BD64E1">
        <w:t xml:space="preserve">is beneficial </w:t>
      </w:r>
      <w:r w:rsidR="00797437" w:rsidRPr="00BD64E1">
        <w:t xml:space="preserve">if the UE remains within the coverage area but </w:t>
      </w:r>
      <w:r w:rsidR="00337A27" w:rsidRPr="00BD64E1">
        <w:t>is not expecting to communicate before the coverage provided by the 4 satellites, defined by SIB32, have passed. For example, if the</w:t>
      </w:r>
      <w:r w:rsidR="00D34FFB" w:rsidRPr="00BD64E1">
        <w:t xml:space="preserve"> 4 satellites define </w:t>
      </w:r>
      <w:r w:rsidR="004B0942" w:rsidRPr="00BD64E1">
        <w:t xml:space="preserve">4 </w:t>
      </w:r>
      <w:r w:rsidR="00D34FFB" w:rsidRPr="00BD64E1">
        <w:t>coverage windows within the next 4 hours, but the UE is aware that it will only trigger u</w:t>
      </w:r>
      <w:r w:rsidR="004B0942" w:rsidRPr="00BD64E1">
        <w:t xml:space="preserve">plink data every 12 hours, it will be a waste of UE energy </w:t>
      </w:r>
      <w:r w:rsidR="003D533A" w:rsidRPr="00BD64E1">
        <w:t>to receive multiple SIB32 versions until satellite assistance information for the right coverage window is received. By use of dedicated RRC signalling, the network could provide the satellite assistance information, which would suit the UE’s traffic profile.</w:t>
      </w:r>
    </w:p>
    <w:p w14:paraId="6A3E06C4" w14:textId="175CB9DA" w:rsidR="0058605D" w:rsidRPr="00BD64E1" w:rsidRDefault="0094265F" w:rsidP="0058605D">
      <w:pPr>
        <w:rPr>
          <w:b/>
          <w:bCs/>
        </w:rPr>
      </w:pPr>
      <w:r w:rsidRPr="00BD64E1">
        <w:rPr>
          <w:b/>
          <w:bCs/>
        </w:rPr>
        <w:t>Proposal</w:t>
      </w:r>
      <w:r w:rsidR="005078C3" w:rsidRPr="00BD64E1">
        <w:rPr>
          <w:b/>
          <w:bCs/>
        </w:rPr>
        <w:t xml:space="preserve"> </w:t>
      </w:r>
      <w:r w:rsidR="000F46C7" w:rsidRPr="00BD64E1">
        <w:rPr>
          <w:b/>
          <w:bCs/>
        </w:rPr>
        <w:t>1</w:t>
      </w:r>
      <w:r w:rsidRPr="00BD64E1">
        <w:rPr>
          <w:b/>
          <w:bCs/>
        </w:rPr>
        <w:t>: RAN2 to discuss the provisioning of additional satellites’ ephemeris via dedicated RRC signal</w:t>
      </w:r>
      <w:r w:rsidR="00446C9E" w:rsidRPr="00BD64E1">
        <w:rPr>
          <w:b/>
          <w:bCs/>
        </w:rPr>
        <w:t>l</w:t>
      </w:r>
      <w:r w:rsidRPr="00BD64E1">
        <w:rPr>
          <w:b/>
          <w:bCs/>
        </w:rPr>
        <w:t>ing.</w:t>
      </w:r>
    </w:p>
    <w:p w14:paraId="1D81AA71" w14:textId="77777777" w:rsidR="00E30062" w:rsidRPr="00BD64E1" w:rsidRDefault="007437FE" w:rsidP="0058605D">
      <w:r w:rsidRPr="00BD64E1">
        <w:t xml:space="preserve">The SIB32 </w:t>
      </w:r>
      <w:r w:rsidR="00642938" w:rsidRPr="00BD64E1">
        <w:t xml:space="preserve">defines up to 4 target satellites’ ephemeris and footprint information. </w:t>
      </w:r>
      <w:r w:rsidR="004E4BAB" w:rsidRPr="00BD64E1">
        <w:t xml:space="preserve">The footprint information can be given as elevation angles or radius for an earth-moving cell and as a reference point and radius for a quasi-earth fixed cell. </w:t>
      </w:r>
      <w:r w:rsidR="00CD1FD8" w:rsidRPr="00BD64E1">
        <w:t xml:space="preserve">The footprint information </w:t>
      </w:r>
      <w:r w:rsidR="00203043" w:rsidRPr="00BD64E1">
        <w:t>enables the UE to determine the approximate start and end of radio coverage from the satellite</w:t>
      </w:r>
      <w:r w:rsidR="00E30062" w:rsidRPr="00BD64E1">
        <w:t xml:space="preserve">, which can e.g. be used to estimate the unreachability period. </w:t>
      </w:r>
    </w:p>
    <w:p w14:paraId="323C03A6" w14:textId="77777777" w:rsidR="0059261E" w:rsidRPr="00BD64E1" w:rsidRDefault="0040216A" w:rsidP="0058605D">
      <w:r w:rsidRPr="00BD64E1">
        <w:t xml:space="preserve">The understanding of when coverage ends is also useful for the current serving cell (and satellite). </w:t>
      </w:r>
      <w:r w:rsidR="00602327" w:rsidRPr="00BD64E1">
        <w:t>For the quasi-earth fixed cell, the t</w:t>
      </w:r>
      <w:r w:rsidR="00DA2475" w:rsidRPr="00BD64E1">
        <w:t xml:space="preserve">-Service parameter of SIB3 </w:t>
      </w:r>
      <w:r w:rsidR="00D02A4E" w:rsidRPr="00BD64E1">
        <w:t xml:space="preserve">provides such an indication, while there is no indication of elevation angles or radius for the earth-moving cell in SIB31 or elsewhere. </w:t>
      </w:r>
    </w:p>
    <w:p w14:paraId="0AC16C42" w14:textId="116638C0" w:rsidR="0059261E" w:rsidRPr="00BD64E1" w:rsidRDefault="0059261E" w:rsidP="0058605D">
      <w:pPr>
        <w:rPr>
          <w:b/>
          <w:bCs/>
        </w:rPr>
      </w:pPr>
      <w:r w:rsidRPr="00BD64E1">
        <w:rPr>
          <w:b/>
          <w:bCs/>
        </w:rPr>
        <w:t>Observation</w:t>
      </w:r>
      <w:r w:rsidR="005078C3" w:rsidRPr="00BD64E1">
        <w:rPr>
          <w:b/>
          <w:bCs/>
        </w:rPr>
        <w:t xml:space="preserve"> </w:t>
      </w:r>
      <w:r w:rsidR="000F46C7" w:rsidRPr="00BD64E1">
        <w:rPr>
          <w:b/>
          <w:bCs/>
        </w:rPr>
        <w:t>5</w:t>
      </w:r>
      <w:r w:rsidRPr="00BD64E1">
        <w:rPr>
          <w:b/>
          <w:bCs/>
        </w:rPr>
        <w:t xml:space="preserve">: </w:t>
      </w:r>
      <w:r w:rsidR="00F66DBC" w:rsidRPr="00BD64E1">
        <w:rPr>
          <w:b/>
          <w:bCs/>
        </w:rPr>
        <w:t>The SIB does not provide information, which enables the UE to estimate the end of coverage, for the serving cell in the discontinuous coverage scenario.</w:t>
      </w:r>
    </w:p>
    <w:p w14:paraId="7189E2D4" w14:textId="2C7CDD17" w:rsidR="00FD1157" w:rsidRPr="00BD64E1" w:rsidRDefault="00D01290" w:rsidP="0058605D">
      <w:r w:rsidRPr="00BD64E1">
        <w:t xml:space="preserve">One solution would be to include the serving satellite as one of the 4 in the SIB32, but it seems like a waste of resources to duplicate ephemeris (although not exactly the same format) in both SIB31 and SIB32. </w:t>
      </w:r>
      <w:r w:rsidR="00FD1157" w:rsidRPr="00BD64E1">
        <w:t xml:space="preserve">In some scenarios, the UE may be able to </w:t>
      </w:r>
      <w:r w:rsidR="00E725D1" w:rsidRPr="00BD64E1">
        <w:t>use previously acquired SIB31 information when the serving cell was not the serving cell</w:t>
      </w:r>
      <w:r w:rsidRPr="00BD64E1">
        <w:t xml:space="preserve"> and thus part of SIB32, but it is not a reliable solution</w:t>
      </w:r>
      <w:r w:rsidR="005911FD" w:rsidRPr="00BD64E1">
        <w:t>, because not all UEs will have the old SIB31 information</w:t>
      </w:r>
      <w:r w:rsidRPr="00BD64E1">
        <w:t>.</w:t>
      </w:r>
    </w:p>
    <w:p w14:paraId="1CED3C13" w14:textId="5A65A246" w:rsidR="007437FE" w:rsidRPr="00BD64E1" w:rsidRDefault="007A46DA" w:rsidP="0058605D">
      <w:r w:rsidRPr="00BD64E1">
        <w:t xml:space="preserve">Therefore, an alternative could be to </w:t>
      </w:r>
      <w:r w:rsidR="00C93931" w:rsidRPr="00BD64E1">
        <w:t>include the elevation angles or radius information, based on the SIB32 definitions, in the SIB31</w:t>
      </w:r>
      <w:r w:rsidR="00E01B79" w:rsidRPr="00BD64E1">
        <w:t xml:space="preserve"> as an optional element, which is only potentially added in the discontinuous coverage scenario.</w:t>
      </w:r>
    </w:p>
    <w:p w14:paraId="5949EA0E" w14:textId="1F070A2D" w:rsidR="005911FD" w:rsidRPr="00BD64E1" w:rsidRDefault="005911FD" w:rsidP="0058605D">
      <w:pPr>
        <w:rPr>
          <w:b/>
          <w:bCs/>
        </w:rPr>
      </w:pPr>
      <w:r w:rsidRPr="00BD64E1">
        <w:rPr>
          <w:b/>
          <w:bCs/>
        </w:rPr>
        <w:t>Proposal</w:t>
      </w:r>
      <w:r w:rsidR="005078C3" w:rsidRPr="00BD64E1">
        <w:rPr>
          <w:b/>
          <w:bCs/>
        </w:rPr>
        <w:t xml:space="preserve"> </w:t>
      </w:r>
      <w:r w:rsidR="000F46C7" w:rsidRPr="00BD64E1">
        <w:rPr>
          <w:b/>
          <w:bCs/>
        </w:rPr>
        <w:t>2</w:t>
      </w:r>
      <w:r w:rsidRPr="00BD64E1">
        <w:rPr>
          <w:b/>
          <w:bCs/>
        </w:rPr>
        <w:t xml:space="preserve">: RAN2 to include footprint information for the </w:t>
      </w:r>
      <w:r w:rsidR="00AA4429" w:rsidRPr="00BD64E1">
        <w:rPr>
          <w:b/>
          <w:bCs/>
        </w:rPr>
        <w:t>earth-moving cell in discontinuous coverage as an optional field in SIB31.</w:t>
      </w:r>
    </w:p>
    <w:p w14:paraId="73644E84" w14:textId="0E661B67" w:rsidR="005821A4" w:rsidRPr="00BD64E1" w:rsidRDefault="009339CB" w:rsidP="00E72657">
      <w:pPr>
        <w:pStyle w:val="Heading2"/>
      </w:pPr>
      <w:r w:rsidRPr="00BD64E1">
        <w:t>2.</w:t>
      </w:r>
      <w:r w:rsidR="00E46FDF" w:rsidRPr="00BD64E1">
        <w:t>3</w:t>
      </w:r>
      <w:r w:rsidR="00974304" w:rsidRPr="00BD64E1">
        <w:t xml:space="preserve"> </w:t>
      </w:r>
      <w:r w:rsidR="00005B69" w:rsidRPr="00BD64E1">
        <w:t>Paging</w:t>
      </w:r>
      <w:r w:rsidR="00974304" w:rsidRPr="00BD64E1">
        <w:t xml:space="preserve"> during discontinuous coverage</w:t>
      </w:r>
    </w:p>
    <w:p w14:paraId="13572845" w14:textId="77777777" w:rsidR="00403DB8" w:rsidRPr="00BD64E1" w:rsidRDefault="00403DB8" w:rsidP="00403DB8">
      <w:r w:rsidRPr="00BD64E1">
        <w:t>At RAN2#121 the following was agreed:</w:t>
      </w:r>
    </w:p>
    <w:tbl>
      <w:tblPr>
        <w:tblStyle w:val="TableGrid"/>
        <w:tblW w:w="0" w:type="auto"/>
        <w:tblLook w:val="04A0" w:firstRow="1" w:lastRow="0" w:firstColumn="1" w:lastColumn="0" w:noHBand="0" w:noVBand="1"/>
      </w:tblPr>
      <w:tblGrid>
        <w:gridCol w:w="9631"/>
      </w:tblGrid>
      <w:tr w:rsidR="00403DB8" w:rsidRPr="00BD64E1" w14:paraId="56918D42" w14:textId="77777777" w:rsidTr="00403DB8">
        <w:tc>
          <w:tcPr>
            <w:tcW w:w="9631" w:type="dxa"/>
          </w:tcPr>
          <w:p w14:paraId="18036DA2" w14:textId="1F9928FE" w:rsidR="00403DB8" w:rsidRPr="00BD64E1" w:rsidRDefault="00583C72" w:rsidP="00403DB8">
            <w:pPr>
              <w:rPr>
                <w:lang w:val="en-US"/>
              </w:rPr>
            </w:pPr>
            <w:r w:rsidRPr="00BD64E1">
              <w:t xml:space="preserve">RAN2 will support enhancements in paging and </w:t>
            </w:r>
            <w:proofErr w:type="spellStart"/>
            <w:r w:rsidRPr="00BD64E1">
              <w:t>eDRX</w:t>
            </w:r>
            <w:proofErr w:type="spellEnd"/>
            <w:r w:rsidRPr="00BD64E1">
              <w:t>, in alignment with the work in SA2 and CT1. FFS on the details</w:t>
            </w:r>
          </w:p>
        </w:tc>
      </w:tr>
    </w:tbl>
    <w:p w14:paraId="50235A48" w14:textId="54EEA42B" w:rsidR="002133AB" w:rsidRPr="00BD64E1" w:rsidRDefault="002133AB" w:rsidP="00403DB8">
      <w:r w:rsidRPr="00BD64E1">
        <w:t xml:space="preserve">According to the SA2 work, the UE and the core network </w:t>
      </w:r>
      <w:r w:rsidR="005012E2" w:rsidRPr="00BD64E1">
        <w:t xml:space="preserve">(MME/AMF) </w:t>
      </w:r>
      <w:r w:rsidRPr="00BD64E1">
        <w:t xml:space="preserve">will </w:t>
      </w:r>
      <w:r w:rsidR="005012E2" w:rsidRPr="00BD64E1">
        <w:t xml:space="preserve">agree on the UE </w:t>
      </w:r>
      <w:r w:rsidR="00B320B2" w:rsidRPr="00BD64E1">
        <w:t>un</w:t>
      </w:r>
      <w:r w:rsidR="005012E2" w:rsidRPr="00BD64E1">
        <w:t>reachability period</w:t>
      </w:r>
      <w:r w:rsidR="00B320B2" w:rsidRPr="00BD64E1">
        <w:t xml:space="preserve"> and therefore the PSM configuration </w:t>
      </w:r>
      <w:r w:rsidR="000875F7" w:rsidRPr="00BD64E1">
        <w:t>(</w:t>
      </w:r>
      <w:r w:rsidR="00701AF9" w:rsidRPr="00BD64E1">
        <w:t xml:space="preserve">T3412 and T3324) </w:t>
      </w:r>
      <w:r w:rsidR="00B320B2" w:rsidRPr="00BD64E1">
        <w:t>can be adjusted accordingly.</w:t>
      </w:r>
      <w:r w:rsidR="00701AF9" w:rsidRPr="00BD64E1">
        <w:t xml:space="preserve"> Specifically, </w:t>
      </w:r>
      <w:r w:rsidR="001D32CC" w:rsidRPr="00BD64E1">
        <w:t xml:space="preserve">the active timer (T3324) can be aligned with the period where there is radio coverage, while the </w:t>
      </w:r>
      <w:r w:rsidR="004B522F" w:rsidRPr="00BD64E1">
        <w:t xml:space="preserve">periodic Tracking Area Update </w:t>
      </w:r>
      <w:r w:rsidR="00F239EA" w:rsidRPr="00BD64E1">
        <w:t xml:space="preserve">(TAU) </w:t>
      </w:r>
      <w:r w:rsidR="004B522F" w:rsidRPr="00BD64E1">
        <w:t>timer T3412</w:t>
      </w:r>
      <w:r w:rsidR="00450565" w:rsidRPr="00BD64E1">
        <w:t xml:space="preserve"> shall be aligned with periodicity of the unreachability periods. It is SA2 responsibility to </w:t>
      </w:r>
      <w:r w:rsidR="0020601C" w:rsidRPr="00BD64E1">
        <w:t>ensure the timers can be configured with the appropriate granularity.</w:t>
      </w:r>
    </w:p>
    <w:p w14:paraId="5E456BB9" w14:textId="7F6E3F52" w:rsidR="00B320B2" w:rsidRPr="00BD64E1" w:rsidRDefault="001969E2" w:rsidP="00403DB8">
      <w:pPr>
        <w:rPr>
          <w:b/>
          <w:bCs/>
        </w:rPr>
      </w:pPr>
      <w:r w:rsidRPr="00BD64E1">
        <w:rPr>
          <w:b/>
          <w:bCs/>
        </w:rPr>
        <w:t>Observation</w:t>
      </w:r>
      <w:r w:rsidR="000F46C7" w:rsidRPr="00BD64E1">
        <w:rPr>
          <w:b/>
          <w:bCs/>
        </w:rPr>
        <w:t xml:space="preserve"> 6</w:t>
      </w:r>
      <w:r w:rsidRPr="00BD64E1">
        <w:rPr>
          <w:b/>
          <w:bCs/>
        </w:rPr>
        <w:t>: The UE unreachability period can be used to configure the PSM.</w:t>
      </w:r>
      <w:r w:rsidR="0020601C" w:rsidRPr="00BD64E1">
        <w:rPr>
          <w:b/>
          <w:bCs/>
        </w:rPr>
        <w:t xml:space="preserve"> SA2 is responsible for ensuring the PSM timers T3412 and T3324 has the appropriate granularity.</w:t>
      </w:r>
    </w:p>
    <w:p w14:paraId="6C159392" w14:textId="4E3FB42A" w:rsidR="0020601C" w:rsidRPr="00BD64E1" w:rsidRDefault="0020601C" w:rsidP="00C6474B">
      <w:r w:rsidRPr="00BD64E1">
        <w:lastRenderedPageBreak/>
        <w:t xml:space="preserve">One enhancement could be to define that the </w:t>
      </w:r>
      <w:r w:rsidR="00F239EA" w:rsidRPr="00BD64E1">
        <w:t>UE does not send the periodic TAU at the expiry of T3412, when in discontinuous coverage, but only use it to control the PSM i.e. the sleep mode.</w:t>
      </w:r>
    </w:p>
    <w:p w14:paraId="1CAF0524" w14:textId="20D2B636" w:rsidR="00FC4C80" w:rsidRPr="00BD64E1" w:rsidRDefault="00033D50" w:rsidP="00FC4C80">
      <w:pPr>
        <w:rPr>
          <w:bCs/>
        </w:rPr>
      </w:pPr>
      <w:r w:rsidRPr="00BD64E1">
        <w:rPr>
          <w:bCs/>
        </w:rPr>
        <w:t>One approach to using DRX/</w:t>
      </w:r>
      <w:proofErr w:type="spellStart"/>
      <w:r w:rsidRPr="00BD64E1">
        <w:rPr>
          <w:bCs/>
        </w:rPr>
        <w:t>eDRX</w:t>
      </w:r>
      <w:proofErr w:type="spellEnd"/>
      <w:r w:rsidRPr="00BD64E1">
        <w:rPr>
          <w:bCs/>
        </w:rPr>
        <w:t xml:space="preserve"> could be to </w:t>
      </w:r>
      <w:r w:rsidR="007F65F9" w:rsidRPr="00BD64E1">
        <w:rPr>
          <w:bCs/>
        </w:rPr>
        <w:t xml:space="preserve">combine it with PSM such that the </w:t>
      </w:r>
      <w:r w:rsidR="00C85359" w:rsidRPr="00BD64E1">
        <w:rPr>
          <w:bCs/>
        </w:rPr>
        <w:t xml:space="preserve">UE </w:t>
      </w:r>
      <w:r w:rsidR="00B9421C" w:rsidRPr="00BD64E1">
        <w:rPr>
          <w:bCs/>
        </w:rPr>
        <w:t>only appl</w:t>
      </w:r>
      <w:r w:rsidR="007F65F9" w:rsidRPr="00BD64E1">
        <w:rPr>
          <w:bCs/>
        </w:rPr>
        <w:t>ies</w:t>
      </w:r>
      <w:r w:rsidR="00B9421C" w:rsidRPr="00BD64E1">
        <w:rPr>
          <w:bCs/>
        </w:rPr>
        <w:t xml:space="preserve"> DRX/</w:t>
      </w:r>
      <w:proofErr w:type="spellStart"/>
      <w:r w:rsidR="00B9421C" w:rsidRPr="00BD64E1">
        <w:rPr>
          <w:bCs/>
        </w:rPr>
        <w:t>eDRX</w:t>
      </w:r>
      <w:proofErr w:type="spellEnd"/>
      <w:r w:rsidR="00B9421C" w:rsidRPr="00BD64E1">
        <w:rPr>
          <w:bCs/>
        </w:rPr>
        <w:t xml:space="preserve"> during the period, where there is radio coverage</w:t>
      </w:r>
      <w:r w:rsidR="007F65F9" w:rsidRPr="00BD64E1">
        <w:rPr>
          <w:bCs/>
        </w:rPr>
        <w:t>, i.e. during the T3324</w:t>
      </w:r>
      <w:r w:rsidR="00B9421C" w:rsidRPr="00BD64E1">
        <w:rPr>
          <w:bCs/>
        </w:rPr>
        <w:t xml:space="preserve">. </w:t>
      </w:r>
      <w:r w:rsidR="007F65F9" w:rsidRPr="00BD64E1">
        <w:rPr>
          <w:bCs/>
        </w:rPr>
        <w:t xml:space="preserve">Alternatively, the </w:t>
      </w:r>
      <w:proofErr w:type="spellStart"/>
      <w:r w:rsidR="007F65F9" w:rsidRPr="00BD64E1">
        <w:rPr>
          <w:bCs/>
        </w:rPr>
        <w:t>eDRX</w:t>
      </w:r>
      <w:proofErr w:type="spellEnd"/>
      <w:r w:rsidR="007F65F9" w:rsidRPr="00BD64E1">
        <w:rPr>
          <w:bCs/>
        </w:rPr>
        <w:t xml:space="preserve"> periodicity can be aligned with the </w:t>
      </w:r>
      <w:r w:rsidR="00BF7680" w:rsidRPr="00BD64E1">
        <w:rPr>
          <w:bCs/>
        </w:rPr>
        <w:t xml:space="preserve">periodicity of the unreachability periods (similar to the proposed alignment of T3412), such that the corresponding Paging Time Window </w:t>
      </w:r>
      <w:r w:rsidR="005355FD" w:rsidRPr="00BD64E1">
        <w:rPr>
          <w:bCs/>
        </w:rPr>
        <w:t>occurs during the period, where there is radio coverage.</w:t>
      </w:r>
      <w:r w:rsidR="008172AE" w:rsidRPr="00BD64E1">
        <w:rPr>
          <w:bCs/>
        </w:rPr>
        <w:t xml:space="preserve"> </w:t>
      </w:r>
      <w:r w:rsidR="00FC4C80" w:rsidRPr="00BD64E1">
        <w:rPr>
          <w:bCs/>
        </w:rPr>
        <w:t xml:space="preserve">Therefore, it is not clear why </w:t>
      </w:r>
      <w:proofErr w:type="spellStart"/>
      <w:r w:rsidR="00FC4C80" w:rsidRPr="00BD64E1">
        <w:rPr>
          <w:bCs/>
        </w:rPr>
        <w:t>eDRX</w:t>
      </w:r>
      <w:proofErr w:type="spellEnd"/>
      <w:r w:rsidR="00FC4C80" w:rsidRPr="00BD64E1">
        <w:rPr>
          <w:bCs/>
        </w:rPr>
        <w:t xml:space="preserve"> or PTW would need enhancements in terms of the basic time configuration.</w:t>
      </w:r>
    </w:p>
    <w:p w14:paraId="15788F23" w14:textId="475D0025" w:rsidR="008172AE" w:rsidRPr="00BD64E1" w:rsidRDefault="008172AE" w:rsidP="007F65F9">
      <w:pPr>
        <w:rPr>
          <w:bCs/>
        </w:rPr>
      </w:pPr>
      <w:r w:rsidRPr="00BD64E1">
        <w:rPr>
          <w:bCs/>
        </w:rPr>
        <w:t xml:space="preserve">The three different options (A for alignment of PSM, B for alignment of PSM with </w:t>
      </w:r>
      <w:proofErr w:type="spellStart"/>
      <w:r w:rsidRPr="00BD64E1">
        <w:rPr>
          <w:bCs/>
        </w:rPr>
        <w:t>eDRX</w:t>
      </w:r>
      <w:proofErr w:type="spellEnd"/>
      <w:r w:rsidRPr="00BD64E1">
        <w:rPr>
          <w:bCs/>
        </w:rPr>
        <w:t xml:space="preserve"> during the T3324, and C for alignment of </w:t>
      </w:r>
      <w:proofErr w:type="spellStart"/>
      <w:r w:rsidRPr="00BD64E1">
        <w:rPr>
          <w:bCs/>
        </w:rPr>
        <w:t>eDRX</w:t>
      </w:r>
      <w:proofErr w:type="spellEnd"/>
      <w:r w:rsidRPr="00BD64E1">
        <w:rPr>
          <w:bCs/>
        </w:rPr>
        <w:t xml:space="preserve">) are illustrated in </w:t>
      </w:r>
      <w:r w:rsidRPr="00BD64E1">
        <w:rPr>
          <w:bCs/>
        </w:rPr>
        <w:fldChar w:fldCharType="begin"/>
      </w:r>
      <w:r w:rsidRPr="00BD64E1">
        <w:rPr>
          <w:bCs/>
        </w:rPr>
        <w:instrText xml:space="preserve"> REF _Ref130977483 \h </w:instrText>
      </w:r>
      <w:r w:rsidRPr="00BD64E1">
        <w:rPr>
          <w:bCs/>
        </w:rPr>
      </w:r>
      <w:r w:rsidR="00BD64E1">
        <w:rPr>
          <w:bCs/>
        </w:rPr>
        <w:instrText xml:space="preserve"> \* MERGEFORMAT </w:instrText>
      </w:r>
      <w:r w:rsidRPr="00BD64E1">
        <w:rPr>
          <w:bCs/>
        </w:rPr>
        <w:fldChar w:fldCharType="separate"/>
      </w:r>
      <w:r w:rsidRPr="00BD64E1">
        <w:t xml:space="preserve">Figure </w:t>
      </w:r>
      <w:r w:rsidRPr="00BD64E1">
        <w:rPr>
          <w:noProof/>
        </w:rPr>
        <w:t>1</w:t>
      </w:r>
      <w:r w:rsidRPr="00BD64E1">
        <w:rPr>
          <w:bCs/>
        </w:rPr>
        <w:fldChar w:fldCharType="end"/>
      </w:r>
      <w:r w:rsidRPr="00BD64E1">
        <w:rPr>
          <w:bCs/>
        </w:rPr>
        <w:t>.</w:t>
      </w:r>
    </w:p>
    <w:p w14:paraId="44D98E1F" w14:textId="77777777" w:rsidR="00C57044" w:rsidRPr="00BD64E1" w:rsidRDefault="00C57044" w:rsidP="00C6474B">
      <w:pPr>
        <w:keepNext/>
      </w:pPr>
      <w:r w:rsidRPr="00BD64E1">
        <w:rPr>
          <w:bCs/>
          <w:noProof/>
        </w:rPr>
        <w:drawing>
          <wp:inline distT="0" distB="0" distL="0" distR="0" wp14:anchorId="7E8AFD5C" wp14:editId="2FAD08BD">
            <wp:extent cx="6122035" cy="30473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3047365"/>
                    </a:xfrm>
                    <a:prstGeom prst="rect">
                      <a:avLst/>
                    </a:prstGeom>
                  </pic:spPr>
                </pic:pic>
              </a:graphicData>
            </a:graphic>
          </wp:inline>
        </w:drawing>
      </w:r>
    </w:p>
    <w:p w14:paraId="1BA0DAF7" w14:textId="4BA1EC2E" w:rsidR="00C57044" w:rsidRPr="00BD64E1" w:rsidRDefault="00C57044" w:rsidP="00C6474B">
      <w:pPr>
        <w:pStyle w:val="Caption"/>
        <w:rPr>
          <w:bCs/>
        </w:rPr>
      </w:pPr>
      <w:bookmarkStart w:id="1" w:name="_Ref130977483"/>
      <w:r w:rsidRPr="00BD64E1">
        <w:t xml:space="preserve">Figure </w:t>
      </w:r>
      <w:fldSimple w:instr=" SEQ Figure \* ARABIC ">
        <w:r w:rsidRPr="00BD64E1">
          <w:rPr>
            <w:noProof/>
          </w:rPr>
          <w:t>1</w:t>
        </w:r>
      </w:fldSimple>
      <w:bookmarkEnd w:id="1"/>
      <w:r w:rsidRPr="00BD64E1">
        <w:t xml:space="preserve"> Examples of fitting PSM and </w:t>
      </w:r>
      <w:proofErr w:type="spellStart"/>
      <w:r w:rsidRPr="00BD64E1">
        <w:t>eDRX</w:t>
      </w:r>
      <w:proofErr w:type="spellEnd"/>
      <w:r w:rsidRPr="00BD64E1">
        <w:t xml:space="preserve"> to the coverage availability.</w:t>
      </w:r>
    </w:p>
    <w:p w14:paraId="3AA739E2" w14:textId="2511B7A1" w:rsidR="000A6E44" w:rsidRPr="00BD64E1" w:rsidRDefault="000A6E44" w:rsidP="007F65F9">
      <w:pPr>
        <w:rPr>
          <w:b/>
        </w:rPr>
      </w:pPr>
      <w:r w:rsidRPr="00BD64E1">
        <w:rPr>
          <w:b/>
        </w:rPr>
        <w:t>Proposal</w:t>
      </w:r>
      <w:r w:rsidR="000F46C7" w:rsidRPr="00BD64E1">
        <w:rPr>
          <w:b/>
        </w:rPr>
        <w:t xml:space="preserve"> 3</w:t>
      </w:r>
      <w:r w:rsidRPr="00BD64E1">
        <w:rPr>
          <w:b/>
        </w:rPr>
        <w:t xml:space="preserve">: The PSM and </w:t>
      </w:r>
      <w:proofErr w:type="spellStart"/>
      <w:r w:rsidRPr="00BD64E1">
        <w:rPr>
          <w:b/>
        </w:rPr>
        <w:t>eDRX</w:t>
      </w:r>
      <w:proofErr w:type="spellEnd"/>
      <w:r w:rsidRPr="00BD64E1">
        <w:rPr>
          <w:b/>
        </w:rPr>
        <w:t xml:space="preserve"> configurations can be </w:t>
      </w:r>
      <w:r w:rsidR="00952F0E" w:rsidRPr="00BD64E1">
        <w:rPr>
          <w:b/>
        </w:rPr>
        <w:t>configured to align with the estimated UE unreachability period</w:t>
      </w:r>
    </w:p>
    <w:p w14:paraId="35DFA20A" w14:textId="74385D14" w:rsidR="00005B69" w:rsidRPr="00BD64E1" w:rsidRDefault="00005B69" w:rsidP="00005B69">
      <w:pPr>
        <w:rPr>
          <w:bCs/>
        </w:rPr>
      </w:pPr>
      <w:r w:rsidRPr="00BD64E1">
        <w:rPr>
          <w:bCs/>
        </w:rPr>
        <w:t>For coverage window</w:t>
      </w:r>
      <w:r w:rsidR="00A74014" w:rsidRPr="00BD64E1">
        <w:rPr>
          <w:bCs/>
        </w:rPr>
        <w:t>/unreachability period</w:t>
      </w:r>
      <w:r w:rsidRPr="00BD64E1">
        <w:rPr>
          <w:bCs/>
        </w:rPr>
        <w:t xml:space="preserve"> prediction by</w:t>
      </w:r>
      <w:r w:rsidR="00446C9E" w:rsidRPr="00BD64E1">
        <w:rPr>
          <w:bCs/>
        </w:rPr>
        <w:t xml:space="preserve"> the</w:t>
      </w:r>
      <w:r w:rsidRPr="00BD64E1">
        <w:rPr>
          <w:bCs/>
        </w:rPr>
        <w:t xml:space="preserve"> UE, a key issue is the inaccuracy of the simple orbital predictors deployed in some UEs</w:t>
      </w:r>
      <w:r w:rsidR="004D1840" w:rsidRPr="00BD64E1">
        <w:rPr>
          <w:bCs/>
        </w:rPr>
        <w:t>.</w:t>
      </w:r>
      <w:r w:rsidRPr="00BD64E1">
        <w:rPr>
          <w:bCs/>
        </w:rPr>
        <w:t xml:space="preserve"> If the UE makes an erroneous estimate of the coverage it means it will wake up to monitor for paging when there is </w:t>
      </w:r>
      <w:r w:rsidR="00FC5193" w:rsidRPr="00BD64E1">
        <w:rPr>
          <w:bCs/>
        </w:rPr>
        <w:t>no</w:t>
      </w:r>
      <w:r w:rsidRPr="00BD64E1">
        <w:rPr>
          <w:bCs/>
        </w:rPr>
        <w:t xml:space="preserve"> radio coverage available.  </w:t>
      </w:r>
    </w:p>
    <w:p w14:paraId="5F581A38" w14:textId="55DB5B50" w:rsidR="00005B69" w:rsidRPr="00BD64E1" w:rsidRDefault="00005B69" w:rsidP="00005B69">
      <w:pPr>
        <w:rPr>
          <w:bCs/>
        </w:rPr>
      </w:pPr>
      <w:r w:rsidRPr="00BD64E1">
        <w:rPr>
          <w:bCs/>
        </w:rPr>
        <w:t xml:space="preserve">Another reason for UE failure in monitoring for paging is that the coverage may change due to UE movement. The NTN IoT WID </w:t>
      </w:r>
      <w:r w:rsidR="000E3DC8" w:rsidRPr="00BD64E1">
        <w:rPr>
          <w:bCs/>
        </w:rPr>
        <w:t>also list this potential UE movement in the note, mentioned in the introduction of this contribution.</w:t>
      </w:r>
      <w:r w:rsidRPr="00BD64E1">
        <w:rPr>
          <w:bCs/>
        </w:rPr>
        <w:t xml:space="preserve"> When the UE moves it may result in the coverage window</w:t>
      </w:r>
      <w:r w:rsidR="00651215" w:rsidRPr="00BD64E1">
        <w:rPr>
          <w:bCs/>
        </w:rPr>
        <w:t>/reachability period</w:t>
      </w:r>
      <w:r w:rsidRPr="00BD64E1">
        <w:rPr>
          <w:bCs/>
        </w:rPr>
        <w:t xml:space="preserve">, which was predicted and communicated with the network, no longer </w:t>
      </w:r>
      <w:r w:rsidR="00E16793" w:rsidRPr="00BD64E1">
        <w:rPr>
          <w:bCs/>
        </w:rPr>
        <w:t xml:space="preserve">is </w:t>
      </w:r>
      <w:r w:rsidRPr="00BD64E1">
        <w:rPr>
          <w:bCs/>
        </w:rPr>
        <w:t xml:space="preserve">valid. This is especially likely in the discontinuous coverage scenario, where the time between </w:t>
      </w:r>
      <w:r w:rsidR="006A3D56" w:rsidRPr="00BD64E1">
        <w:rPr>
          <w:bCs/>
        </w:rPr>
        <w:t xml:space="preserve">coverage opportunities </w:t>
      </w:r>
      <w:r w:rsidRPr="00BD64E1">
        <w:rPr>
          <w:bCs/>
        </w:rPr>
        <w:t>can be multiple hours</w:t>
      </w:r>
      <w:r w:rsidR="00A16B51" w:rsidRPr="00BD64E1">
        <w:rPr>
          <w:bCs/>
        </w:rPr>
        <w:t xml:space="preserve"> </w:t>
      </w:r>
      <w:r w:rsidR="00A16B51" w:rsidRPr="00BD64E1">
        <w:t xml:space="preserve"> </w:t>
      </w:r>
      <w:r w:rsidR="00A16B51" w:rsidRPr="00BD64E1">
        <w:fldChar w:fldCharType="begin"/>
      </w:r>
      <w:r w:rsidR="00A16B51" w:rsidRPr="00BD64E1">
        <w:instrText xml:space="preserve"> REF _Ref109826590 \r \h </w:instrText>
      </w:r>
      <w:r w:rsidR="00BD64E1">
        <w:instrText xml:space="preserve"> \* MERGEFORMAT </w:instrText>
      </w:r>
      <w:r w:rsidR="00A16B51" w:rsidRPr="00BD64E1">
        <w:fldChar w:fldCharType="separate"/>
      </w:r>
      <w:r w:rsidR="0006656D" w:rsidRPr="00BD64E1">
        <w:t>[3]</w:t>
      </w:r>
      <w:r w:rsidR="00A16B51" w:rsidRPr="00BD64E1">
        <w:fldChar w:fldCharType="end"/>
      </w:r>
      <w:r w:rsidRPr="00BD64E1">
        <w:rPr>
          <w:bCs/>
        </w:rPr>
        <w:t xml:space="preserve">, allowing even a rather slow-moving UE to move a significant distance. </w:t>
      </w:r>
    </w:p>
    <w:p w14:paraId="51F2C636" w14:textId="0AB58A66" w:rsidR="00005B69" w:rsidRPr="00BD64E1" w:rsidRDefault="00005B69" w:rsidP="00005B69">
      <w:pPr>
        <w:rPr>
          <w:b/>
        </w:rPr>
      </w:pPr>
      <w:r w:rsidRPr="00BD64E1">
        <w:rPr>
          <w:b/>
        </w:rPr>
        <w:t xml:space="preserve">Observation </w:t>
      </w:r>
      <w:r w:rsidR="005078C3" w:rsidRPr="00BD64E1">
        <w:rPr>
          <w:b/>
        </w:rPr>
        <w:t>8</w:t>
      </w:r>
      <w:r w:rsidRPr="00BD64E1">
        <w:rPr>
          <w:b/>
        </w:rPr>
        <w:t>: UE prediction error and UE movement may result in misalignment of the paging window and the coverage window</w:t>
      </w:r>
      <w:r w:rsidR="006A3D56" w:rsidRPr="00BD64E1">
        <w:rPr>
          <w:b/>
        </w:rPr>
        <w:t>/</w:t>
      </w:r>
      <w:bookmarkStart w:id="2" w:name="_Hlk131079286"/>
      <w:r w:rsidR="002252C8" w:rsidRPr="00BD64E1">
        <w:rPr>
          <w:b/>
        </w:rPr>
        <w:t>un</w:t>
      </w:r>
      <w:r w:rsidR="006A3D56" w:rsidRPr="00BD64E1">
        <w:rPr>
          <w:b/>
        </w:rPr>
        <w:t>reachability period</w:t>
      </w:r>
      <w:bookmarkEnd w:id="2"/>
      <w:r w:rsidRPr="00BD64E1">
        <w:rPr>
          <w:b/>
        </w:rPr>
        <w:t>.</w:t>
      </w:r>
    </w:p>
    <w:p w14:paraId="5C6230A1" w14:textId="28D73719" w:rsidR="00005B69" w:rsidRPr="00BD64E1" w:rsidRDefault="00005B69" w:rsidP="00005B69">
      <w:r w:rsidRPr="00BD64E1">
        <w:t xml:space="preserve">The </w:t>
      </w:r>
      <w:r w:rsidR="00F23DAA" w:rsidRPr="00BD64E1">
        <w:t>misalignment</w:t>
      </w:r>
      <w:r w:rsidRPr="00BD64E1">
        <w:t xml:space="preserve"> of the estimated coverage window</w:t>
      </w:r>
      <w:r w:rsidR="002252C8" w:rsidRPr="00BD64E1">
        <w:t>/unreachability period</w:t>
      </w:r>
      <w:r w:rsidRPr="00BD64E1">
        <w:t xml:space="preserve"> and the paging monitoring window is a challenging problem to solve, but it is important, because it can result in high UE </w:t>
      </w:r>
      <w:r w:rsidR="003034FC" w:rsidRPr="00BD64E1">
        <w:t>energy</w:t>
      </w:r>
      <w:r w:rsidRPr="00BD64E1">
        <w:t xml:space="preserve"> consumption</w:t>
      </w:r>
      <w:r w:rsidR="00E16793" w:rsidRPr="00BD64E1">
        <w:t xml:space="preserve"> due to futile PDCCH monitoring</w:t>
      </w:r>
      <w:r w:rsidRPr="00BD64E1">
        <w:t xml:space="preserve"> and high NW signalling overhead</w:t>
      </w:r>
      <w:r w:rsidR="00E16793" w:rsidRPr="00BD64E1">
        <w:t xml:space="preserve">, because of </w:t>
      </w:r>
      <w:r w:rsidR="00383924" w:rsidRPr="00BD64E1">
        <w:t>paging escalation</w:t>
      </w:r>
      <w:r w:rsidRPr="00BD64E1">
        <w:t>.</w:t>
      </w:r>
      <w:r w:rsidR="00383924" w:rsidRPr="00BD64E1">
        <w:t xml:space="preserve"> </w:t>
      </w:r>
      <w:r w:rsidRPr="00BD64E1">
        <w:t>There may be approaches on both UE and network sides to address the issue. For example, the network can extend the paging</w:t>
      </w:r>
      <w:r w:rsidR="002252C8" w:rsidRPr="00BD64E1">
        <w:t xml:space="preserve"> attempt</w:t>
      </w:r>
      <w:r w:rsidRPr="00BD64E1">
        <w:t xml:space="preserve"> </w:t>
      </w:r>
      <w:r w:rsidR="000C2C5E" w:rsidRPr="00BD64E1">
        <w:t>a few</w:t>
      </w:r>
      <w:r w:rsidRPr="00BD64E1">
        <w:t xml:space="preserve"> </w:t>
      </w:r>
      <w:r w:rsidR="002252C8" w:rsidRPr="00BD64E1">
        <w:t xml:space="preserve">paging </w:t>
      </w:r>
      <w:r w:rsidRPr="00BD64E1">
        <w:t xml:space="preserve">cycles before/after the coverage window if the UE does not respond to paging within the coverage window. </w:t>
      </w:r>
    </w:p>
    <w:p w14:paraId="3DF08022" w14:textId="096E3FDE" w:rsidR="00005B69" w:rsidRPr="00BD64E1" w:rsidRDefault="00005B69" w:rsidP="00005B69">
      <w:pPr>
        <w:rPr>
          <w:b/>
          <w:bCs/>
        </w:rPr>
      </w:pPr>
      <w:r w:rsidRPr="00BD64E1">
        <w:rPr>
          <w:b/>
          <w:bCs/>
        </w:rPr>
        <w:t xml:space="preserve">Proposal </w:t>
      </w:r>
      <w:r w:rsidR="005078C3" w:rsidRPr="00BD64E1">
        <w:rPr>
          <w:b/>
          <w:bCs/>
        </w:rPr>
        <w:t>4</w:t>
      </w:r>
      <w:r w:rsidRPr="00BD64E1">
        <w:rPr>
          <w:b/>
          <w:bCs/>
        </w:rPr>
        <w:t>: Network can extend the paging before/after the coverage window if the UE does not respond to paging within the estimated coverage window.</w:t>
      </w:r>
    </w:p>
    <w:p w14:paraId="4E70648E" w14:textId="48B1E42C" w:rsidR="00005B69" w:rsidRPr="00BD64E1" w:rsidRDefault="00005B69" w:rsidP="00005B69">
      <w:r w:rsidRPr="00BD64E1">
        <w:lastRenderedPageBreak/>
        <w:t xml:space="preserve">Likewise, the UE may extend the monitoring for paging outside the estimated coverage window, if the UE determines radio coverage is available. If the UE identifies a shift </w:t>
      </w:r>
      <w:r w:rsidR="00383924" w:rsidRPr="00BD64E1">
        <w:t>of the window</w:t>
      </w:r>
      <w:r w:rsidR="00C17117" w:rsidRPr="00BD64E1">
        <w:t>,</w:t>
      </w:r>
      <w:r w:rsidR="00383924" w:rsidRPr="00BD64E1">
        <w:t xml:space="preserve"> </w:t>
      </w:r>
      <w:r w:rsidRPr="00BD64E1">
        <w:t xml:space="preserve">it could notify the network to realign the paging window and the coverage window. </w:t>
      </w:r>
    </w:p>
    <w:p w14:paraId="48CE6B02" w14:textId="18E100BC" w:rsidR="00005B69" w:rsidRPr="00BD64E1" w:rsidRDefault="00005B69" w:rsidP="00005B69">
      <w:pPr>
        <w:rPr>
          <w:b/>
          <w:bCs/>
        </w:rPr>
      </w:pPr>
      <w:r w:rsidRPr="00BD64E1">
        <w:rPr>
          <w:b/>
          <w:bCs/>
        </w:rPr>
        <w:t xml:space="preserve">Proposal </w:t>
      </w:r>
      <w:r w:rsidR="005078C3" w:rsidRPr="00BD64E1">
        <w:rPr>
          <w:b/>
          <w:bCs/>
        </w:rPr>
        <w:t>5</w:t>
      </w:r>
      <w:r w:rsidRPr="00BD64E1">
        <w:rPr>
          <w:b/>
          <w:bCs/>
        </w:rPr>
        <w:t xml:space="preserve">: UE can extend the paging monitoring outside the estimated coverage window if radio coverage is available. UE may report to the network to realign the </w:t>
      </w:r>
      <w:r w:rsidR="00A16B51" w:rsidRPr="00BD64E1">
        <w:rPr>
          <w:b/>
          <w:bCs/>
        </w:rPr>
        <w:t xml:space="preserve">paging monitoring and coverage </w:t>
      </w:r>
      <w:r w:rsidRPr="00BD64E1">
        <w:rPr>
          <w:b/>
          <w:bCs/>
        </w:rPr>
        <w:t>windows.</w:t>
      </w:r>
    </w:p>
    <w:p w14:paraId="736902BC" w14:textId="5B4AFE07" w:rsidR="006F4A61" w:rsidRPr="00BD64E1" w:rsidRDefault="0045198D" w:rsidP="00005B69">
      <w:r w:rsidRPr="00BD64E1">
        <w:t xml:space="preserve">In both TN and NTN, the </w:t>
      </w:r>
      <w:r w:rsidR="00F13FDA" w:rsidRPr="00BD64E1">
        <w:t xml:space="preserve">paging scheme is based on knowledge of which Tracking Area </w:t>
      </w:r>
      <w:r w:rsidR="006538D4" w:rsidRPr="00BD64E1">
        <w:t xml:space="preserve">(TA) </w:t>
      </w:r>
      <w:r w:rsidR="00F13FDA" w:rsidRPr="00BD64E1">
        <w:t xml:space="preserve">the UE is </w:t>
      </w:r>
      <w:r w:rsidR="0062140F" w:rsidRPr="00BD64E1">
        <w:t xml:space="preserve">located </w:t>
      </w:r>
      <w:r w:rsidR="00F13FDA" w:rsidRPr="00BD64E1">
        <w:t xml:space="preserve">in. </w:t>
      </w:r>
      <w:r w:rsidR="006538D4" w:rsidRPr="00BD64E1">
        <w:t>In many implementations, the network will first attempt to page in the last known cell and if there is no UE response, attempt paging in the TA.</w:t>
      </w:r>
      <w:r w:rsidR="0062140F" w:rsidRPr="00BD64E1">
        <w:t xml:space="preserve"> In NTN the TA may be very large due to the large cells and thus the network may be hesitant to perform such a TA-wide paging</w:t>
      </w:r>
      <w:r w:rsidR="00F91BF6" w:rsidRPr="00BD64E1">
        <w:t xml:space="preserve">. </w:t>
      </w:r>
      <w:r w:rsidR="00653858" w:rsidRPr="00BD64E1">
        <w:t xml:space="preserve">This is problematic when a moving UE remains within the same TA. If the UE had moved outside the TA, it would have to perform a TA update to inform the network, but when the UE remains within the TA the network will not be aware </w:t>
      </w:r>
      <w:r w:rsidR="00C92C1A" w:rsidRPr="00BD64E1">
        <w:t xml:space="preserve">about the UE movement. This could result in the network attempting to page the UE </w:t>
      </w:r>
      <w:r w:rsidR="002A0FD9" w:rsidRPr="00BD64E1">
        <w:t xml:space="preserve">in a coverage window, which UE and network previously agreed on, </w:t>
      </w:r>
      <w:r w:rsidR="00944199" w:rsidRPr="00BD64E1">
        <w:t>but due to the UE movement, the UE may ha</w:t>
      </w:r>
      <w:r w:rsidR="00853079" w:rsidRPr="00BD64E1">
        <w:t>ve</w:t>
      </w:r>
      <w:r w:rsidR="00944199" w:rsidRPr="00BD64E1">
        <w:t xml:space="preserve"> been in coverage </w:t>
      </w:r>
      <w:r w:rsidR="00853079" w:rsidRPr="00BD64E1">
        <w:t>earlier in the same TA. In the discontinuous coverage scenario, this may result in the paging (</w:t>
      </w:r>
      <w:r w:rsidR="009B7B7B" w:rsidRPr="00BD64E1">
        <w:t xml:space="preserve">with </w:t>
      </w:r>
      <w:r w:rsidR="00853079" w:rsidRPr="00BD64E1">
        <w:t xml:space="preserve">escalation) being postponed </w:t>
      </w:r>
      <w:r w:rsidR="009B7B7B" w:rsidRPr="00BD64E1">
        <w:t>to the next time a satellite provides coverage to the same TA.</w:t>
      </w:r>
      <w:r w:rsidR="00477D08" w:rsidRPr="00BD64E1">
        <w:t xml:space="preserve"> The scenario is illustrated in </w:t>
      </w:r>
      <w:r w:rsidR="00477D08" w:rsidRPr="00BD64E1">
        <w:fldChar w:fldCharType="begin"/>
      </w:r>
      <w:r w:rsidR="00477D08" w:rsidRPr="00BD64E1">
        <w:instrText xml:space="preserve"> REF _Ref127351770 \h </w:instrText>
      </w:r>
      <w:r w:rsidR="00BD64E1">
        <w:instrText xml:space="preserve"> \* MERGEFORMAT </w:instrText>
      </w:r>
      <w:r w:rsidR="00477D08" w:rsidRPr="00BD64E1">
        <w:fldChar w:fldCharType="separate"/>
      </w:r>
      <w:r w:rsidR="0006656D" w:rsidRPr="00BD64E1">
        <w:t xml:space="preserve">Figure </w:t>
      </w:r>
      <w:r w:rsidR="0006656D" w:rsidRPr="00BD64E1">
        <w:rPr>
          <w:noProof/>
        </w:rPr>
        <w:t>1</w:t>
      </w:r>
      <w:r w:rsidR="00477D08" w:rsidRPr="00BD64E1">
        <w:fldChar w:fldCharType="end"/>
      </w:r>
      <w:r w:rsidR="00477D08" w:rsidRPr="00BD64E1">
        <w:t>.</w:t>
      </w:r>
      <w:r w:rsidR="00955279" w:rsidRPr="00BD64E1">
        <w:t xml:space="preserve"> According to the SA2 conclusions, the determining of the reachability periods</w:t>
      </w:r>
      <w:r w:rsidR="00346470" w:rsidRPr="00BD64E1">
        <w:t xml:space="preserve"> (coverage windows) shall take into account UE location/mobility/trajectory information, but </w:t>
      </w:r>
      <w:r w:rsidR="009348E5" w:rsidRPr="00BD64E1">
        <w:t>such information may not always be available or be accurate.</w:t>
      </w:r>
    </w:p>
    <w:p w14:paraId="3D5E043B" w14:textId="2F8D0330" w:rsidR="000E578E" w:rsidRPr="00BD64E1" w:rsidRDefault="000E578E" w:rsidP="00005B69">
      <w:pPr>
        <w:rPr>
          <w:b/>
          <w:bCs/>
        </w:rPr>
      </w:pPr>
      <w:r w:rsidRPr="00BD64E1">
        <w:rPr>
          <w:b/>
          <w:bCs/>
        </w:rPr>
        <w:t>Observation</w:t>
      </w:r>
      <w:r w:rsidR="005078C3" w:rsidRPr="00BD64E1">
        <w:rPr>
          <w:b/>
          <w:bCs/>
        </w:rPr>
        <w:t xml:space="preserve"> 9</w:t>
      </w:r>
      <w:r w:rsidRPr="00BD64E1">
        <w:rPr>
          <w:b/>
          <w:bCs/>
        </w:rPr>
        <w:t>: UE movement within the same TA</w:t>
      </w:r>
      <w:r w:rsidR="00BA561D" w:rsidRPr="00BD64E1">
        <w:rPr>
          <w:b/>
          <w:bCs/>
        </w:rPr>
        <w:t xml:space="preserve"> may result in failed and delayed paging</w:t>
      </w:r>
      <w:r w:rsidR="009348E5" w:rsidRPr="00BD64E1">
        <w:rPr>
          <w:b/>
          <w:bCs/>
        </w:rPr>
        <w:t xml:space="preserve"> if the </w:t>
      </w:r>
      <w:r w:rsidR="00BA561D" w:rsidRPr="00BD64E1">
        <w:rPr>
          <w:b/>
          <w:bCs/>
        </w:rPr>
        <w:t>UE is in coverage during a different reachability period</w:t>
      </w:r>
      <w:r w:rsidR="006E59AF" w:rsidRPr="00BD64E1">
        <w:rPr>
          <w:b/>
          <w:bCs/>
        </w:rPr>
        <w:t xml:space="preserve"> than the one agreed with the core network.</w:t>
      </w:r>
    </w:p>
    <w:p w14:paraId="47A3B246" w14:textId="77777777" w:rsidR="008E0831" w:rsidRPr="00BD64E1" w:rsidRDefault="008E0831" w:rsidP="008E0831">
      <w:pPr>
        <w:keepNext/>
        <w:jc w:val="center"/>
      </w:pPr>
      <w:r w:rsidRPr="00BD64E1">
        <w:rPr>
          <w:noProof/>
        </w:rPr>
        <w:drawing>
          <wp:inline distT="0" distB="0" distL="0" distR="0" wp14:anchorId="6089E1A2" wp14:editId="3B447614">
            <wp:extent cx="3909419" cy="1942279"/>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26741" cy="1950885"/>
                    </a:xfrm>
                    <a:prstGeom prst="rect">
                      <a:avLst/>
                    </a:prstGeom>
                  </pic:spPr>
                </pic:pic>
              </a:graphicData>
            </a:graphic>
          </wp:inline>
        </w:drawing>
      </w:r>
    </w:p>
    <w:p w14:paraId="1A6E4EE6" w14:textId="63697D37" w:rsidR="008E0831" w:rsidRPr="00BD64E1" w:rsidRDefault="008E0831" w:rsidP="008E0831">
      <w:pPr>
        <w:pStyle w:val="Caption"/>
        <w:jc w:val="center"/>
      </w:pPr>
      <w:bookmarkStart w:id="3" w:name="_Ref127351770"/>
      <w:r w:rsidRPr="00BD64E1">
        <w:t xml:space="preserve">Figure </w:t>
      </w:r>
      <w:r w:rsidRPr="00BD64E1">
        <w:fldChar w:fldCharType="begin"/>
      </w:r>
      <w:r w:rsidRPr="00BD64E1">
        <w:instrText>SEQ Figure \* ARABIC</w:instrText>
      </w:r>
      <w:r w:rsidRPr="00BD64E1">
        <w:fldChar w:fldCharType="separate"/>
      </w:r>
      <w:r w:rsidR="00C57044" w:rsidRPr="00BD64E1">
        <w:rPr>
          <w:noProof/>
        </w:rPr>
        <w:t>2</w:t>
      </w:r>
      <w:r w:rsidRPr="00BD64E1">
        <w:fldChar w:fldCharType="end"/>
      </w:r>
      <w:bookmarkEnd w:id="3"/>
      <w:r w:rsidRPr="00BD64E1">
        <w:t xml:space="preserve"> UE movement caused the relevant coverage window to shift from A of cell 1 to B of cell 2.</w:t>
      </w:r>
    </w:p>
    <w:p w14:paraId="103F4647" w14:textId="19B9066A" w:rsidR="00BB2160" w:rsidRPr="00BD64E1" w:rsidRDefault="00BB2160" w:rsidP="00BB2160">
      <w:pPr>
        <w:rPr>
          <w:b/>
          <w:bCs/>
        </w:rPr>
      </w:pPr>
      <w:r w:rsidRPr="00BD64E1">
        <w:rPr>
          <w:b/>
          <w:bCs/>
        </w:rPr>
        <w:t>Proposal</w:t>
      </w:r>
      <w:r w:rsidR="005078C3" w:rsidRPr="00BD64E1">
        <w:rPr>
          <w:b/>
          <w:bCs/>
        </w:rPr>
        <w:t xml:space="preserve"> 6</w:t>
      </w:r>
      <w:r w:rsidRPr="00BD64E1">
        <w:rPr>
          <w:b/>
          <w:bCs/>
        </w:rPr>
        <w:t xml:space="preserve">: RAN2 to discuss how to handle UE movement within the same TA during discontinuous coverage. </w:t>
      </w:r>
    </w:p>
    <w:p w14:paraId="0BC88293" w14:textId="20E465DE" w:rsidR="00901E64" w:rsidRPr="00BD64E1" w:rsidRDefault="00974304" w:rsidP="00340AFB">
      <w:pPr>
        <w:pStyle w:val="Heading2"/>
      </w:pPr>
      <w:r w:rsidRPr="00BD64E1">
        <w:t>2.</w:t>
      </w:r>
      <w:r w:rsidR="00E46FDF" w:rsidRPr="00BD64E1">
        <w:t>4</w:t>
      </w:r>
      <w:r w:rsidRPr="00BD64E1">
        <w:t xml:space="preserve"> </w:t>
      </w:r>
      <w:r w:rsidR="00340AFB" w:rsidRPr="00BD64E1">
        <w:t xml:space="preserve">Cell search </w:t>
      </w:r>
      <w:r w:rsidRPr="00BD64E1">
        <w:t>while in discontinuous coverage</w:t>
      </w:r>
    </w:p>
    <w:p w14:paraId="352E23EB" w14:textId="670036F2" w:rsidR="00340AFB" w:rsidRPr="00BD64E1" w:rsidRDefault="00340AFB" w:rsidP="00340AFB">
      <w:r w:rsidRPr="00BD64E1">
        <w:t>Based on the simulation results, previously presented in</w:t>
      </w:r>
      <w:r w:rsidR="00AF7AB2" w:rsidRPr="00BD64E1">
        <w:t xml:space="preserve"> </w:t>
      </w:r>
      <w:r w:rsidR="00AF7AB2" w:rsidRPr="00BD64E1">
        <w:fldChar w:fldCharType="begin"/>
      </w:r>
      <w:r w:rsidR="00AF7AB2" w:rsidRPr="00BD64E1">
        <w:instrText xml:space="preserve"> REF _Ref109826590 \r \h </w:instrText>
      </w:r>
      <w:r w:rsidR="00BD64E1">
        <w:instrText xml:space="preserve"> \* MERGEFORMAT </w:instrText>
      </w:r>
      <w:r w:rsidR="00AF7AB2" w:rsidRPr="00BD64E1">
        <w:fldChar w:fldCharType="separate"/>
      </w:r>
      <w:r w:rsidR="0006656D" w:rsidRPr="00BD64E1">
        <w:t>[3]</w:t>
      </w:r>
      <w:r w:rsidR="00AF7AB2" w:rsidRPr="00BD64E1">
        <w:fldChar w:fldCharType="end"/>
      </w:r>
      <w:r w:rsidRPr="00BD64E1">
        <w:t>, the satellite availability can be in the range of a few seconds to 5-9 minutes. Furthermore, it was observed that the durations between satellite availability can be divided into distinct groups. For example, in constellation C 70-80 % of the durations are about 30 minutes, while the remaining durations are at least 2 hours. The most evenly distributed constellation is D, where around 55 % of the durations are 3/4 of an hour and the remaining is 1.5 hours.</w:t>
      </w:r>
    </w:p>
    <w:p w14:paraId="4624B45B" w14:textId="0E48CB0B" w:rsidR="00340AFB" w:rsidRPr="00BD64E1" w:rsidRDefault="00340AFB" w:rsidP="00340AFB">
      <w:r w:rsidRPr="00BD64E1">
        <w:t xml:space="preserve">For the stationary device, it may be possible to perform a fairly accurate prediction of the next satellite(s), but for a moving UE or a UE, which has performed a cold start (i.e. initial connection), this could be challenging. Being aware of the satellite availability and the durations between availability could help the UE </w:t>
      </w:r>
      <w:r w:rsidR="003C282A" w:rsidRPr="00BD64E1">
        <w:t>configuring</w:t>
      </w:r>
      <w:r w:rsidRPr="00BD64E1">
        <w:t xml:space="preserve"> the back-off timer, i.e. the time to disable cell reselection measurements. The information could be given as cell availability time based on estimates as provided in</w:t>
      </w:r>
      <w:r w:rsidR="00AF7AB2" w:rsidRPr="00BD64E1">
        <w:t xml:space="preserve"> </w:t>
      </w:r>
      <w:r w:rsidR="00AF7AB2" w:rsidRPr="00BD64E1">
        <w:fldChar w:fldCharType="begin"/>
      </w:r>
      <w:r w:rsidR="00AF7AB2" w:rsidRPr="00BD64E1">
        <w:instrText xml:space="preserve"> REF _Ref109826590 \r \h </w:instrText>
      </w:r>
      <w:r w:rsidR="00BD64E1">
        <w:instrText xml:space="preserve"> \* MERGEFORMAT </w:instrText>
      </w:r>
      <w:r w:rsidR="00AF7AB2" w:rsidRPr="00BD64E1">
        <w:fldChar w:fldCharType="separate"/>
      </w:r>
      <w:r w:rsidR="0006656D" w:rsidRPr="00BD64E1">
        <w:t>[3]</w:t>
      </w:r>
      <w:r w:rsidR="00AF7AB2" w:rsidRPr="00BD64E1">
        <w:fldChar w:fldCharType="end"/>
      </w:r>
      <w:r w:rsidRPr="00BD64E1">
        <w:t xml:space="preserve">. Such basic coverage information for a constellation could be broadcasted or pre-loaded in the UEs to enable the moving and cold start UEs to determine a reasonable cell search and reselection measurement period. </w:t>
      </w:r>
      <w:r w:rsidR="00C076AE" w:rsidRPr="00BD64E1">
        <w:t xml:space="preserve">This would enhance the </w:t>
      </w:r>
      <w:r w:rsidR="003C282A" w:rsidRPr="00BD64E1">
        <w:t>energy</w:t>
      </w:r>
      <w:r w:rsidR="00DD3826" w:rsidRPr="00BD64E1">
        <w:t xml:space="preserve"> saving potential while a UE is in discontinuous coverage.</w:t>
      </w:r>
    </w:p>
    <w:p w14:paraId="0927D390" w14:textId="7B184D2D" w:rsidR="00340AFB" w:rsidRPr="00BD64E1" w:rsidRDefault="00340AFB" w:rsidP="00340AFB">
      <w:pPr>
        <w:rPr>
          <w:b/>
          <w:bCs/>
        </w:rPr>
      </w:pPr>
      <w:r w:rsidRPr="00BD64E1">
        <w:rPr>
          <w:b/>
          <w:bCs/>
        </w:rPr>
        <w:t xml:space="preserve">Proposal </w:t>
      </w:r>
      <w:r w:rsidR="005078C3" w:rsidRPr="00BD64E1">
        <w:rPr>
          <w:b/>
          <w:bCs/>
        </w:rPr>
        <w:t>7</w:t>
      </w:r>
      <w:r w:rsidRPr="00BD64E1">
        <w:rPr>
          <w:b/>
          <w:bCs/>
        </w:rPr>
        <w:t xml:space="preserve">: </w:t>
      </w:r>
      <w:r w:rsidR="00DD3826" w:rsidRPr="00BD64E1">
        <w:rPr>
          <w:b/>
          <w:bCs/>
        </w:rPr>
        <w:t>RAN2 to consider p</w:t>
      </w:r>
      <w:r w:rsidRPr="00BD64E1">
        <w:rPr>
          <w:b/>
          <w:bCs/>
        </w:rPr>
        <w:t xml:space="preserve">rovisioning cell availability information to enable moving and cold start UEs to determine cell search and reselection measurement period(s) to </w:t>
      </w:r>
      <w:r w:rsidR="00507C78" w:rsidRPr="00BD64E1">
        <w:rPr>
          <w:b/>
          <w:bCs/>
        </w:rPr>
        <w:t xml:space="preserve">enhance </w:t>
      </w:r>
      <w:r w:rsidR="003034FC" w:rsidRPr="00BD64E1">
        <w:rPr>
          <w:b/>
          <w:bCs/>
        </w:rPr>
        <w:t>energy</w:t>
      </w:r>
      <w:r w:rsidR="00507C78" w:rsidRPr="00BD64E1">
        <w:rPr>
          <w:b/>
          <w:bCs/>
        </w:rPr>
        <w:t xml:space="preserve"> saving potential</w:t>
      </w:r>
      <w:r w:rsidRPr="00BD64E1">
        <w:rPr>
          <w:b/>
          <w:bCs/>
        </w:rPr>
        <w:t>.</w:t>
      </w:r>
    </w:p>
    <w:p w14:paraId="3C77294F" w14:textId="655ECB91" w:rsidR="0070100D" w:rsidRPr="00BD64E1" w:rsidRDefault="0070100D" w:rsidP="0070100D">
      <w:pPr>
        <w:pStyle w:val="Heading2"/>
      </w:pPr>
      <w:r w:rsidRPr="00BD64E1">
        <w:t>2.</w:t>
      </w:r>
      <w:r w:rsidR="00E46FDF" w:rsidRPr="00BD64E1">
        <w:t>5</w:t>
      </w:r>
      <w:r w:rsidRPr="00BD64E1">
        <w:t xml:space="preserve"> </w:t>
      </w:r>
      <w:r w:rsidR="006B2D6B" w:rsidRPr="00BD64E1">
        <w:t>RRC Connected UEs in discontinuous coverage</w:t>
      </w:r>
    </w:p>
    <w:p w14:paraId="583A16CA" w14:textId="77777777" w:rsidR="006B2D6B" w:rsidRPr="00BD64E1" w:rsidRDefault="006B2D6B" w:rsidP="006B2D6B">
      <w:r w:rsidRPr="00BD64E1">
        <w:t>At RAN2#121 the following was agreed:</w:t>
      </w:r>
    </w:p>
    <w:tbl>
      <w:tblPr>
        <w:tblStyle w:val="TableGrid"/>
        <w:tblW w:w="0" w:type="auto"/>
        <w:tblLook w:val="04A0" w:firstRow="1" w:lastRow="0" w:firstColumn="1" w:lastColumn="0" w:noHBand="0" w:noVBand="1"/>
      </w:tblPr>
      <w:tblGrid>
        <w:gridCol w:w="9631"/>
      </w:tblGrid>
      <w:tr w:rsidR="006B2D6B" w:rsidRPr="00BD64E1" w14:paraId="754C41AF" w14:textId="77777777" w:rsidTr="00471FFC">
        <w:tc>
          <w:tcPr>
            <w:tcW w:w="9631" w:type="dxa"/>
          </w:tcPr>
          <w:p w14:paraId="478931E7" w14:textId="77777777" w:rsidR="006B2D6B" w:rsidRPr="00BD64E1" w:rsidRDefault="006B2D6B" w:rsidP="00471FFC">
            <w:r w:rsidRPr="00BD64E1">
              <w:lastRenderedPageBreak/>
              <w:t>RAN2 may consider enhancements for connected UE upon detecting discontinuous coverage (e.g., suspend RLM, RLF detection, and RRC re-establishment process)</w:t>
            </w:r>
          </w:p>
        </w:tc>
      </w:tr>
    </w:tbl>
    <w:p w14:paraId="0C521C2A" w14:textId="6B411A73" w:rsidR="00C6474B" w:rsidRPr="00BD64E1" w:rsidRDefault="00C6474B" w:rsidP="00340AFB"/>
    <w:p w14:paraId="3BA091E2" w14:textId="7224F7AC" w:rsidR="00C6474B" w:rsidRPr="00BD64E1" w:rsidRDefault="00C6474B" w:rsidP="00340AFB">
      <w:r w:rsidRPr="00BD64E1">
        <w:t xml:space="preserve">If the UE knows the discontinuity in coverage when it is in connected mode, the UE may decide to release the RRC connection instead of triggering </w:t>
      </w:r>
      <w:r w:rsidR="000F46C7" w:rsidRPr="00BD64E1">
        <w:t xml:space="preserve">the </w:t>
      </w:r>
      <w:r w:rsidRPr="00BD64E1">
        <w:t xml:space="preserve">re-establishment procedure. To avoid the mismatch in the state of </w:t>
      </w:r>
      <w:r w:rsidR="000F46C7" w:rsidRPr="00BD64E1">
        <w:t xml:space="preserve">the </w:t>
      </w:r>
      <w:r w:rsidRPr="00BD64E1">
        <w:t>RRC connection</w:t>
      </w:r>
      <w:r w:rsidR="00305372" w:rsidRPr="00BD64E1">
        <w:t xml:space="preserve"> the UE may trigger request to release the RRC connection prior to actual RLF event to inform the NW about the RRC connection release. This may lead to release of RRC connection earlier that actual RLF situation. If the early release is to be avoided the UE can implicitly release on RLF but the NW should also aware of this UE behaviour so that it can decide to locally release the UE context based on its DC estimation and also the data transmission status and latest reported radio-conditions.</w:t>
      </w:r>
    </w:p>
    <w:p w14:paraId="18119429" w14:textId="62DD6347" w:rsidR="00C6474B" w:rsidRPr="00BD64E1" w:rsidRDefault="00C6474B" w:rsidP="00C6474B">
      <w:pPr>
        <w:rPr>
          <w:b/>
          <w:bCs/>
        </w:rPr>
      </w:pPr>
      <w:r w:rsidRPr="00BD64E1">
        <w:rPr>
          <w:b/>
          <w:bCs/>
        </w:rPr>
        <w:t xml:space="preserve">Proposal </w:t>
      </w:r>
      <w:r w:rsidR="000F46C7" w:rsidRPr="00BD64E1">
        <w:rPr>
          <w:b/>
          <w:bCs/>
        </w:rPr>
        <w:t>8</w:t>
      </w:r>
      <w:r w:rsidRPr="00BD64E1">
        <w:rPr>
          <w:b/>
          <w:bCs/>
        </w:rPr>
        <w:t xml:space="preserve">: RAN2 to discuss support for </w:t>
      </w:r>
      <w:r w:rsidR="00305372" w:rsidRPr="00BD64E1">
        <w:rPr>
          <w:b/>
          <w:bCs/>
        </w:rPr>
        <w:t>UE request for RRC connection release</w:t>
      </w:r>
      <w:r w:rsidRPr="00BD64E1">
        <w:rPr>
          <w:b/>
          <w:bCs/>
        </w:rPr>
        <w:t xml:space="preserve"> based on DC estimation.</w:t>
      </w:r>
      <w:r w:rsidR="00305372" w:rsidRPr="00BD64E1">
        <w:rPr>
          <w:b/>
          <w:bCs/>
        </w:rPr>
        <w:t xml:space="preserve"> FFS support for implicit RRC connection release.</w:t>
      </w:r>
    </w:p>
    <w:p w14:paraId="4C1E2B7D" w14:textId="6496E813" w:rsidR="0070100D" w:rsidRPr="00BD64E1" w:rsidRDefault="00B26F4F" w:rsidP="00340AFB">
      <w:r w:rsidRPr="00BD64E1">
        <w:t>In addition to mobility management t</w:t>
      </w:r>
      <w:r w:rsidR="00483AAB" w:rsidRPr="00BD64E1">
        <w:t xml:space="preserve">he SA2 report </w:t>
      </w:r>
      <w:r w:rsidRPr="00BD64E1">
        <w:t>also considered UE power saving.</w:t>
      </w:r>
      <w:r w:rsidR="00BC2D6E" w:rsidRPr="00BD64E1">
        <w:t xml:space="preserve"> The work</w:t>
      </w:r>
      <w:r w:rsidR="00DF06FE" w:rsidRPr="00BD64E1">
        <w:t xml:space="preserve"> was targeting the configuration of </w:t>
      </w:r>
      <w:r w:rsidR="00CF3A2D" w:rsidRPr="00BD64E1">
        <w:t xml:space="preserve">PSM and </w:t>
      </w:r>
      <w:proofErr w:type="spellStart"/>
      <w:r w:rsidR="00CF3A2D" w:rsidRPr="00BD64E1">
        <w:t>eDRX</w:t>
      </w:r>
      <w:proofErr w:type="spellEnd"/>
      <w:r w:rsidR="00CF3A2D" w:rsidRPr="00BD64E1">
        <w:t xml:space="preserve"> to avoid cell </w:t>
      </w:r>
      <w:r w:rsidR="00BC2D6E" w:rsidRPr="00BD64E1">
        <w:t>search when</w:t>
      </w:r>
      <w:r w:rsidR="00CF3A2D" w:rsidRPr="00BD64E1">
        <w:t xml:space="preserve"> there is no coverage. </w:t>
      </w:r>
      <w:r w:rsidR="00BC2D6E" w:rsidRPr="00BD64E1">
        <w:t xml:space="preserve">However, in release 18 the RAN1 and RAN2 are also </w:t>
      </w:r>
      <w:r w:rsidR="00B316F0" w:rsidRPr="00BD64E1">
        <w:t xml:space="preserve">specifying GNSS measurements during long connections, e.g. by use of network </w:t>
      </w:r>
      <w:r w:rsidR="00C507F2" w:rsidRPr="00BD64E1">
        <w:t xml:space="preserve">or UE triggered GNSS measurement gaps. </w:t>
      </w:r>
      <w:r w:rsidR="000219A0" w:rsidRPr="00BD64E1">
        <w:t>Such GNSS measurements consume energy and prohibit 3GPP communication, while they are ongoing</w:t>
      </w:r>
      <w:r w:rsidR="00737BA8" w:rsidRPr="00BD64E1">
        <w:t xml:space="preserve">, and thus their interaction with the discontinuous coverage UE </w:t>
      </w:r>
      <w:r w:rsidR="0074089D" w:rsidRPr="00BD64E1">
        <w:t>behaviour</w:t>
      </w:r>
      <w:r w:rsidR="00737BA8" w:rsidRPr="00BD64E1">
        <w:t xml:space="preserve"> can be examined to improve UE power saving. </w:t>
      </w:r>
    </w:p>
    <w:p w14:paraId="41D365BE" w14:textId="14987D9B" w:rsidR="00E25CC1" w:rsidRPr="00BD64E1" w:rsidRDefault="002A7D3D" w:rsidP="00340AFB">
      <w:r w:rsidRPr="00BD64E1">
        <w:t xml:space="preserve">Based on the SIB3, SIB31 and SIB32 the UE </w:t>
      </w:r>
      <w:r w:rsidR="0027209C" w:rsidRPr="00BD64E1">
        <w:t>can</w:t>
      </w:r>
      <w:r w:rsidRPr="00BD64E1">
        <w:t xml:space="preserve"> estimate that the remaining coverage time of a cell or satellite is short</w:t>
      </w:r>
      <w:r w:rsidR="0027209C" w:rsidRPr="00BD64E1">
        <w:t xml:space="preserve">. If the remaining GNSS validity duration is even shorter, the question is whether the UE shall </w:t>
      </w:r>
      <w:r w:rsidR="004837E6" w:rsidRPr="00BD64E1">
        <w:t xml:space="preserve">attempt to reacquire the GNSS position fix or not, because there will be limited time in which the UE can benefit from the new </w:t>
      </w:r>
      <w:r w:rsidR="00AD5C68" w:rsidRPr="00BD64E1">
        <w:t xml:space="preserve">GNSS validity duration. We think it will be beneficial for RAN2 to discuss this </w:t>
      </w:r>
      <w:r w:rsidR="007667CE" w:rsidRPr="00BD64E1">
        <w:t>issue, because avoiding a GNSS measurement when there is limited remaining coverage time can improve the battery life of the UE.</w:t>
      </w:r>
    </w:p>
    <w:p w14:paraId="51717748" w14:textId="26C307DF" w:rsidR="007667CE" w:rsidRPr="00BD64E1" w:rsidRDefault="007667CE" w:rsidP="00340AFB">
      <w:pPr>
        <w:rPr>
          <w:b/>
          <w:bCs/>
        </w:rPr>
      </w:pPr>
      <w:r w:rsidRPr="00BD64E1">
        <w:rPr>
          <w:b/>
          <w:bCs/>
        </w:rPr>
        <w:t>Proposal</w:t>
      </w:r>
      <w:r w:rsidR="005078C3" w:rsidRPr="00BD64E1">
        <w:rPr>
          <w:b/>
          <w:bCs/>
        </w:rPr>
        <w:t xml:space="preserve"> </w:t>
      </w:r>
      <w:r w:rsidR="000F46C7" w:rsidRPr="00BD64E1">
        <w:rPr>
          <w:b/>
          <w:bCs/>
        </w:rPr>
        <w:t>9</w:t>
      </w:r>
      <w:r w:rsidRPr="00BD64E1">
        <w:rPr>
          <w:b/>
          <w:bCs/>
        </w:rPr>
        <w:t xml:space="preserve">: RAN2 to discuss </w:t>
      </w:r>
      <w:r w:rsidR="00DA2E10" w:rsidRPr="00BD64E1">
        <w:rPr>
          <w:b/>
          <w:bCs/>
        </w:rPr>
        <w:t xml:space="preserve">UE </w:t>
      </w:r>
      <w:r w:rsidR="0074089D" w:rsidRPr="00BD64E1">
        <w:rPr>
          <w:b/>
          <w:bCs/>
        </w:rPr>
        <w:t>behaviour</w:t>
      </w:r>
      <w:r w:rsidR="00DA2E10" w:rsidRPr="00BD64E1">
        <w:rPr>
          <w:b/>
          <w:bCs/>
        </w:rPr>
        <w:t xml:space="preserve"> when the UE has</w:t>
      </w:r>
      <w:r w:rsidRPr="00BD64E1">
        <w:rPr>
          <w:b/>
          <w:bCs/>
        </w:rPr>
        <w:t xml:space="preserve"> </w:t>
      </w:r>
      <w:r w:rsidR="009D5D3B" w:rsidRPr="00BD64E1">
        <w:rPr>
          <w:b/>
          <w:bCs/>
        </w:rPr>
        <w:t>limited remaining GNSS validity duration</w:t>
      </w:r>
      <w:r w:rsidR="00DA2E10" w:rsidRPr="00BD64E1">
        <w:rPr>
          <w:b/>
          <w:bCs/>
        </w:rPr>
        <w:t xml:space="preserve"> </w:t>
      </w:r>
      <w:r w:rsidR="00E04FDD" w:rsidRPr="00BD64E1">
        <w:rPr>
          <w:b/>
          <w:bCs/>
        </w:rPr>
        <w:t>and</w:t>
      </w:r>
      <w:r w:rsidR="009D5D3B" w:rsidRPr="00BD64E1">
        <w:rPr>
          <w:b/>
          <w:bCs/>
        </w:rPr>
        <w:t xml:space="preserve"> the remaining </w:t>
      </w:r>
      <w:r w:rsidR="00E04FDD" w:rsidRPr="00BD64E1">
        <w:rPr>
          <w:b/>
          <w:bCs/>
        </w:rPr>
        <w:t xml:space="preserve">discontinuous </w:t>
      </w:r>
      <w:r w:rsidR="00EB0C73" w:rsidRPr="00BD64E1">
        <w:rPr>
          <w:b/>
          <w:bCs/>
        </w:rPr>
        <w:t xml:space="preserve">coverage time is </w:t>
      </w:r>
      <w:r w:rsidR="00DA2E10" w:rsidRPr="00BD64E1">
        <w:rPr>
          <w:b/>
          <w:bCs/>
        </w:rPr>
        <w:t xml:space="preserve">also </w:t>
      </w:r>
      <w:r w:rsidR="00EB0C73" w:rsidRPr="00BD64E1">
        <w:rPr>
          <w:b/>
          <w:bCs/>
        </w:rPr>
        <w:t>short.</w:t>
      </w:r>
    </w:p>
    <w:p w14:paraId="69B7B8E6" w14:textId="69E07FC9" w:rsidR="009339CB" w:rsidRPr="00BD64E1" w:rsidRDefault="005A13AB" w:rsidP="009339CB">
      <w:pPr>
        <w:pStyle w:val="Heading1"/>
      </w:pPr>
      <w:r w:rsidRPr="00BD64E1">
        <w:t>3</w:t>
      </w:r>
      <w:r w:rsidR="009339CB" w:rsidRPr="00BD64E1">
        <w:tab/>
        <w:t>Conclusion</w:t>
      </w:r>
    </w:p>
    <w:p w14:paraId="6E24B0F4" w14:textId="76DF7A93" w:rsidR="009339CB" w:rsidRPr="00BD64E1" w:rsidRDefault="009339CB" w:rsidP="009339CB">
      <w:r w:rsidRPr="00BD64E1">
        <w:t>This document has made the following observations:</w:t>
      </w:r>
    </w:p>
    <w:p w14:paraId="766E48BE" w14:textId="670B52E7" w:rsidR="00305372" w:rsidRPr="00BD64E1" w:rsidRDefault="00305372" w:rsidP="00305372">
      <w:pPr>
        <w:ind w:left="2556" w:firstLine="284"/>
        <w:rPr>
          <w:b/>
          <w:bCs/>
          <w:u w:val="single"/>
        </w:rPr>
      </w:pPr>
      <w:r w:rsidRPr="00BD64E1">
        <w:rPr>
          <w:b/>
          <w:bCs/>
          <w:u w:val="single"/>
        </w:rPr>
        <w:t xml:space="preserve">On the scope of RAN2 work </w:t>
      </w:r>
    </w:p>
    <w:p w14:paraId="6738749F" w14:textId="28E4FCE6" w:rsidR="000F46C7" w:rsidRPr="00BD64E1" w:rsidRDefault="000F46C7" w:rsidP="000F46C7">
      <w:pPr>
        <w:spacing w:before="240"/>
        <w:ind w:left="284"/>
        <w:rPr>
          <w:i/>
          <w:iCs/>
        </w:rPr>
      </w:pPr>
      <w:r w:rsidRPr="00BD64E1">
        <w:rPr>
          <w:i/>
          <w:iCs/>
        </w:rPr>
        <w:t>Observation 1: The signalling of unreachability periods is out of RAN2’s scope.</w:t>
      </w:r>
    </w:p>
    <w:p w14:paraId="2F02DF0C" w14:textId="77777777" w:rsidR="000F46C7" w:rsidRPr="00BD64E1" w:rsidRDefault="000F46C7" w:rsidP="000F46C7">
      <w:pPr>
        <w:spacing w:before="240"/>
        <w:ind w:left="284"/>
        <w:rPr>
          <w:i/>
          <w:iCs/>
        </w:rPr>
      </w:pPr>
      <w:r w:rsidRPr="00BD64E1">
        <w:rPr>
          <w:i/>
          <w:iCs/>
        </w:rPr>
        <w:t>Observation 2: SA2 conclusions require the UE has satellite assistance information to predict the discontinuous coverage.</w:t>
      </w:r>
    </w:p>
    <w:p w14:paraId="1C3391AC" w14:textId="3878631A" w:rsidR="000F46C7" w:rsidRPr="00BD64E1" w:rsidRDefault="000F46C7" w:rsidP="000F46C7">
      <w:pPr>
        <w:spacing w:before="240"/>
        <w:ind w:left="284"/>
        <w:rPr>
          <w:i/>
          <w:iCs/>
        </w:rPr>
      </w:pPr>
      <w:r w:rsidRPr="00BD64E1">
        <w:rPr>
          <w:i/>
          <w:iCs/>
        </w:rPr>
        <w:t>Observation 3: SA2 conclusions require a UE capability to predict unreachability periods and determining of related timers &amp; parameters.</w:t>
      </w:r>
    </w:p>
    <w:p w14:paraId="6A737EC5" w14:textId="3627F8C7" w:rsidR="00305372" w:rsidRPr="00BD64E1" w:rsidRDefault="00305372" w:rsidP="00305372">
      <w:pPr>
        <w:ind w:left="2556" w:firstLine="284"/>
        <w:rPr>
          <w:b/>
          <w:bCs/>
          <w:u w:val="single"/>
        </w:rPr>
      </w:pPr>
      <w:r w:rsidRPr="00BD64E1">
        <w:rPr>
          <w:b/>
          <w:bCs/>
          <w:u w:val="single"/>
        </w:rPr>
        <w:t>Assistance Information for DC related enhancements</w:t>
      </w:r>
    </w:p>
    <w:p w14:paraId="2162472E" w14:textId="0E6A4BF2" w:rsidR="000F46C7" w:rsidRPr="00BD64E1" w:rsidRDefault="000F46C7" w:rsidP="000F46C7">
      <w:pPr>
        <w:spacing w:before="240"/>
        <w:ind w:left="284"/>
        <w:rPr>
          <w:i/>
          <w:iCs/>
        </w:rPr>
      </w:pPr>
      <w:r w:rsidRPr="00BD64E1">
        <w:rPr>
          <w:i/>
          <w:iCs/>
        </w:rPr>
        <w:t xml:space="preserve">Observation 4: UE may determine that the SIB32 satellite assistance information is not relevant for the future location(s) of the UE. </w:t>
      </w:r>
    </w:p>
    <w:p w14:paraId="02F88E42" w14:textId="16587A32" w:rsidR="000F46C7" w:rsidRPr="00BD64E1" w:rsidRDefault="000F46C7" w:rsidP="000F46C7">
      <w:pPr>
        <w:rPr>
          <w:b/>
          <w:bCs/>
        </w:rPr>
      </w:pPr>
      <w:r w:rsidRPr="00BD64E1">
        <w:rPr>
          <w:b/>
          <w:bCs/>
        </w:rPr>
        <w:t>Proposal 1: RAN2 to discuss the provisioning of additional satellites’ ephemeris via dedicated RRC signalling.</w:t>
      </w:r>
    </w:p>
    <w:p w14:paraId="54FA545C" w14:textId="591C3520" w:rsidR="000F46C7" w:rsidRPr="00BD64E1" w:rsidRDefault="000F46C7" w:rsidP="000F46C7">
      <w:pPr>
        <w:ind w:left="284"/>
        <w:rPr>
          <w:i/>
          <w:iCs/>
        </w:rPr>
      </w:pPr>
      <w:r w:rsidRPr="00BD64E1">
        <w:rPr>
          <w:i/>
          <w:iCs/>
        </w:rPr>
        <w:t>Observation 5: The SIB does not provide information, which enables the UE to estimate the end of coverage, for the serving cell in the discontinuous coverage scenario.</w:t>
      </w:r>
    </w:p>
    <w:p w14:paraId="653DAA09" w14:textId="45D17FF4" w:rsidR="000F46C7" w:rsidRPr="00BD64E1" w:rsidRDefault="000F46C7" w:rsidP="000F46C7">
      <w:pPr>
        <w:rPr>
          <w:b/>
          <w:bCs/>
        </w:rPr>
      </w:pPr>
      <w:r w:rsidRPr="00BD64E1">
        <w:rPr>
          <w:b/>
          <w:bCs/>
        </w:rPr>
        <w:t>Proposal 2: RAN2 to include footprint information for the earth-moving cell in discontinuous coverage as an optional field in SIB31.</w:t>
      </w:r>
    </w:p>
    <w:p w14:paraId="52A12FF6" w14:textId="409F9818" w:rsidR="00305372" w:rsidRPr="00BD64E1" w:rsidRDefault="00305372" w:rsidP="00305372">
      <w:pPr>
        <w:ind w:left="2272" w:firstLine="284"/>
        <w:rPr>
          <w:b/>
          <w:bCs/>
          <w:u w:val="single"/>
        </w:rPr>
      </w:pPr>
      <w:r w:rsidRPr="00BD64E1">
        <w:rPr>
          <w:b/>
          <w:bCs/>
          <w:u w:val="single"/>
        </w:rPr>
        <w:t>Idle mode functionality impacts for DC related enhancements</w:t>
      </w:r>
    </w:p>
    <w:p w14:paraId="584A46D7" w14:textId="2563DA70" w:rsidR="000F46C7" w:rsidRPr="00BD64E1" w:rsidRDefault="000F46C7" w:rsidP="000F46C7">
      <w:pPr>
        <w:rPr>
          <w:i/>
          <w:iCs/>
        </w:rPr>
      </w:pPr>
      <w:r w:rsidRPr="00BD64E1">
        <w:rPr>
          <w:b/>
          <w:bCs/>
        </w:rPr>
        <w:tab/>
      </w:r>
      <w:r w:rsidRPr="00BD64E1">
        <w:rPr>
          <w:i/>
          <w:iCs/>
        </w:rPr>
        <w:t>Observation 6: The UE unreachability period can be used to configure the PSM. SA2 is responsible for ensuring the PSM timers T3412 and T3324 has the appropriate granularity.</w:t>
      </w:r>
    </w:p>
    <w:p w14:paraId="296EEE4E" w14:textId="77777777" w:rsidR="000F46C7" w:rsidRPr="00BD64E1" w:rsidRDefault="000F46C7" w:rsidP="000F46C7">
      <w:pPr>
        <w:rPr>
          <w:b/>
        </w:rPr>
      </w:pPr>
      <w:r w:rsidRPr="00BD64E1">
        <w:rPr>
          <w:b/>
        </w:rPr>
        <w:lastRenderedPageBreak/>
        <w:t xml:space="preserve">Proposal 3: The PSM and </w:t>
      </w:r>
      <w:proofErr w:type="spellStart"/>
      <w:r w:rsidRPr="00BD64E1">
        <w:rPr>
          <w:b/>
        </w:rPr>
        <w:t>eDRX</w:t>
      </w:r>
      <w:proofErr w:type="spellEnd"/>
      <w:r w:rsidRPr="00BD64E1">
        <w:rPr>
          <w:b/>
        </w:rPr>
        <w:t xml:space="preserve"> configurations can be configured to align with the estimated UE unreachability period</w:t>
      </w:r>
    </w:p>
    <w:p w14:paraId="0B4B41A0" w14:textId="77777777" w:rsidR="000F46C7" w:rsidRPr="00BD64E1" w:rsidRDefault="000F46C7" w:rsidP="000F46C7">
      <w:pPr>
        <w:ind w:left="284"/>
        <w:rPr>
          <w:bCs/>
          <w:i/>
          <w:iCs/>
        </w:rPr>
      </w:pPr>
      <w:r w:rsidRPr="00BD64E1">
        <w:rPr>
          <w:bCs/>
          <w:i/>
          <w:iCs/>
        </w:rPr>
        <w:t>Observation 8: UE prediction error and UE movement may result in misalignment of the paging window and the coverage window/unreachability period.</w:t>
      </w:r>
    </w:p>
    <w:p w14:paraId="5631DC5D" w14:textId="1104965A" w:rsidR="000F46C7" w:rsidRPr="00BD64E1" w:rsidRDefault="000F46C7" w:rsidP="000F46C7">
      <w:pPr>
        <w:rPr>
          <w:b/>
          <w:bCs/>
        </w:rPr>
      </w:pPr>
      <w:r w:rsidRPr="00BD64E1">
        <w:rPr>
          <w:b/>
          <w:bCs/>
        </w:rPr>
        <w:t>Proposal 4: Network can extend the paging before/after the coverage window if the UE does not respond to paging within the estimated coverage window.</w:t>
      </w:r>
    </w:p>
    <w:p w14:paraId="017BC63D" w14:textId="75FBC8A5" w:rsidR="000F46C7" w:rsidRPr="00BD64E1" w:rsidRDefault="000F46C7" w:rsidP="000F46C7">
      <w:pPr>
        <w:rPr>
          <w:b/>
          <w:bCs/>
        </w:rPr>
      </w:pPr>
      <w:r w:rsidRPr="00BD64E1">
        <w:rPr>
          <w:b/>
          <w:bCs/>
        </w:rPr>
        <w:t>Proposal 5: UE can extend the paging monitoring outside the estimated coverage window if radio coverage is available. UE may report to the network to realign the paging monitoring and coverage windows.</w:t>
      </w:r>
    </w:p>
    <w:p w14:paraId="4A8C0965" w14:textId="77777777" w:rsidR="000F46C7" w:rsidRPr="00BD64E1" w:rsidRDefault="000F46C7" w:rsidP="000F46C7">
      <w:pPr>
        <w:ind w:left="284"/>
        <w:rPr>
          <w:i/>
          <w:iCs/>
        </w:rPr>
      </w:pPr>
      <w:r w:rsidRPr="00BD64E1">
        <w:rPr>
          <w:i/>
          <w:iCs/>
        </w:rPr>
        <w:t>Observation 9: UE movement within the same TA may result in failed and delayed paging if the UE is in coverage during a different reachability period than the one agreed with the core network.</w:t>
      </w:r>
    </w:p>
    <w:p w14:paraId="3BD900C3" w14:textId="77777777" w:rsidR="000F46C7" w:rsidRPr="00BD64E1" w:rsidRDefault="000F46C7" w:rsidP="000F46C7">
      <w:pPr>
        <w:rPr>
          <w:b/>
          <w:bCs/>
        </w:rPr>
      </w:pPr>
      <w:r w:rsidRPr="00BD64E1">
        <w:rPr>
          <w:b/>
          <w:bCs/>
        </w:rPr>
        <w:t xml:space="preserve">Proposal 6: RAN2 to discuss how to handle UE movement within the same TA during discontinuous coverage. </w:t>
      </w:r>
    </w:p>
    <w:p w14:paraId="699C38F8" w14:textId="160778F6" w:rsidR="000F46C7" w:rsidRPr="00BD64E1" w:rsidRDefault="000F46C7" w:rsidP="000F46C7">
      <w:pPr>
        <w:rPr>
          <w:b/>
          <w:bCs/>
        </w:rPr>
      </w:pPr>
      <w:r w:rsidRPr="00BD64E1">
        <w:rPr>
          <w:b/>
          <w:bCs/>
        </w:rPr>
        <w:t xml:space="preserve">Proposal 7: RAN2 to consider provisioning cell availability information to enable moving and cold start UEs to determine cell search and reselection measurement period(s) to enhance </w:t>
      </w:r>
      <w:r w:rsidR="00305372" w:rsidRPr="00BD64E1">
        <w:rPr>
          <w:b/>
          <w:bCs/>
        </w:rPr>
        <w:t>energy-saving</w:t>
      </w:r>
      <w:r w:rsidRPr="00BD64E1">
        <w:rPr>
          <w:b/>
          <w:bCs/>
        </w:rPr>
        <w:t xml:space="preserve"> potential.</w:t>
      </w:r>
    </w:p>
    <w:p w14:paraId="127E44B6" w14:textId="4C603D3A" w:rsidR="00305372" w:rsidRPr="00BD64E1" w:rsidRDefault="00305372" w:rsidP="00305372">
      <w:pPr>
        <w:ind w:left="1136" w:firstLine="284"/>
        <w:rPr>
          <w:b/>
          <w:bCs/>
          <w:u w:val="single"/>
        </w:rPr>
      </w:pPr>
      <w:r w:rsidRPr="00BD64E1">
        <w:rPr>
          <w:b/>
          <w:bCs/>
          <w:u w:val="single"/>
        </w:rPr>
        <w:t>Connected mode functionality impacts for DC related enhancements</w:t>
      </w:r>
    </w:p>
    <w:p w14:paraId="18D5CFE2" w14:textId="77777777" w:rsidR="00305372" w:rsidRPr="00BD64E1" w:rsidRDefault="00305372" w:rsidP="00305372">
      <w:pPr>
        <w:rPr>
          <w:b/>
          <w:bCs/>
        </w:rPr>
      </w:pPr>
      <w:r w:rsidRPr="00BD64E1">
        <w:rPr>
          <w:b/>
          <w:bCs/>
        </w:rPr>
        <w:t>Proposal 8: RAN2 to discuss support for UE request for RRC connection release based on DC estimation. FFS support for implicit RRC connection release.</w:t>
      </w:r>
    </w:p>
    <w:p w14:paraId="0EBF980A" w14:textId="64523FC6" w:rsidR="000F46C7" w:rsidRPr="00BD64E1" w:rsidRDefault="000F46C7" w:rsidP="009339CB">
      <w:r w:rsidRPr="00BD64E1">
        <w:rPr>
          <w:b/>
          <w:bCs/>
        </w:rPr>
        <w:t xml:space="preserve">Proposal 9: RAN2 to discuss UE </w:t>
      </w:r>
      <w:r w:rsidR="00305372" w:rsidRPr="00BD64E1">
        <w:rPr>
          <w:b/>
          <w:bCs/>
        </w:rPr>
        <w:t>behaviour</w:t>
      </w:r>
      <w:r w:rsidRPr="00BD64E1">
        <w:rPr>
          <w:b/>
          <w:bCs/>
        </w:rPr>
        <w:t xml:space="preserve"> when the UE has limited remaining GNSS validity duration and the remaining discontinuous coverage time is also short.</w:t>
      </w:r>
    </w:p>
    <w:p w14:paraId="6C60E7DF" w14:textId="23297299" w:rsidR="000F5CAC" w:rsidRPr="00BD64E1" w:rsidRDefault="001C2CF1" w:rsidP="00A704E6">
      <w:pPr>
        <w:rPr>
          <w:b/>
          <w:bCs/>
        </w:rPr>
      </w:pPr>
      <w:r w:rsidRPr="00BD64E1">
        <w:tab/>
      </w:r>
      <w:r w:rsidRPr="00BD64E1">
        <w:tab/>
      </w:r>
      <w:r w:rsidRPr="00BD64E1">
        <w:tab/>
      </w:r>
      <w:r w:rsidRPr="00BD64E1">
        <w:tab/>
      </w:r>
      <w:r w:rsidRPr="00BD64E1">
        <w:tab/>
      </w:r>
      <w:r w:rsidRPr="00BD64E1">
        <w:tab/>
      </w:r>
      <w:r w:rsidRPr="00BD64E1">
        <w:tab/>
      </w:r>
      <w:r w:rsidRPr="00BD64E1">
        <w:tab/>
      </w:r>
      <w:r w:rsidRPr="00BD64E1">
        <w:tab/>
      </w:r>
    </w:p>
    <w:p w14:paraId="0945E992" w14:textId="77777777" w:rsidR="00B22625" w:rsidRPr="00BD64E1" w:rsidRDefault="00B22625" w:rsidP="00B22625">
      <w:pPr>
        <w:pStyle w:val="Heading1"/>
        <w:ind w:left="0" w:firstLine="0"/>
      </w:pPr>
      <w:r w:rsidRPr="00BD64E1">
        <w:t>References</w:t>
      </w:r>
    </w:p>
    <w:p w14:paraId="0DB01FA9" w14:textId="1C60E269" w:rsidR="003424E9" w:rsidRPr="00BD64E1" w:rsidRDefault="004F3FB2" w:rsidP="003424E9">
      <w:pPr>
        <w:pStyle w:val="ListParagraph"/>
        <w:numPr>
          <w:ilvl w:val="0"/>
          <w:numId w:val="8"/>
        </w:numPr>
        <w:rPr>
          <w:rFonts w:ascii="Times New Roman" w:hAnsi="Times New Roman" w:cs="Times New Roman"/>
          <w:sz w:val="20"/>
          <w:szCs w:val="20"/>
          <w:lang w:val="en-US"/>
        </w:rPr>
      </w:pPr>
      <w:r w:rsidRPr="00BD64E1">
        <w:rPr>
          <w:rFonts w:ascii="Times New Roman" w:hAnsi="Times New Roman" w:cs="Times New Roman"/>
          <w:sz w:val="20"/>
          <w:szCs w:val="20"/>
          <w:lang w:val="en-US"/>
        </w:rPr>
        <w:t>RP-223519</w:t>
      </w:r>
      <w:r w:rsidR="003424E9" w:rsidRPr="00BD64E1">
        <w:rPr>
          <w:rFonts w:ascii="Times New Roman" w:hAnsi="Times New Roman" w:cs="Times New Roman"/>
          <w:sz w:val="20"/>
          <w:szCs w:val="20"/>
          <w:lang w:val="en-US"/>
        </w:rPr>
        <w:t>, WID on IoT NTN enhancements, 3GPP TSG RAN Meeting #9</w:t>
      </w:r>
      <w:r w:rsidRPr="00BD64E1">
        <w:rPr>
          <w:rFonts w:ascii="Times New Roman" w:hAnsi="Times New Roman" w:cs="Times New Roman"/>
          <w:sz w:val="20"/>
          <w:szCs w:val="20"/>
          <w:lang w:val="en-US"/>
        </w:rPr>
        <w:t>8</w:t>
      </w:r>
      <w:r w:rsidR="003424E9" w:rsidRPr="00BD64E1">
        <w:rPr>
          <w:rFonts w:ascii="Times New Roman" w:hAnsi="Times New Roman" w:cs="Times New Roman"/>
          <w:sz w:val="20"/>
          <w:szCs w:val="20"/>
          <w:lang w:val="en-US"/>
        </w:rPr>
        <w:t xml:space="preserve">, </w:t>
      </w:r>
      <w:r w:rsidRPr="00BD64E1">
        <w:rPr>
          <w:rFonts w:ascii="Times New Roman" w:hAnsi="Times New Roman" w:cs="Times New Roman"/>
          <w:sz w:val="20"/>
          <w:szCs w:val="20"/>
          <w:lang w:val="en-US"/>
        </w:rPr>
        <w:t>December</w:t>
      </w:r>
      <w:r w:rsidR="003424E9" w:rsidRPr="00BD64E1">
        <w:rPr>
          <w:rFonts w:ascii="Times New Roman" w:hAnsi="Times New Roman" w:cs="Times New Roman"/>
          <w:sz w:val="20"/>
          <w:szCs w:val="20"/>
          <w:lang w:val="en-US"/>
        </w:rPr>
        <w:t>, 2022.</w:t>
      </w:r>
    </w:p>
    <w:p w14:paraId="3EC194FF" w14:textId="383F81EE" w:rsidR="00AE7900" w:rsidRPr="00BD64E1" w:rsidRDefault="00BB09F4" w:rsidP="00CD0CFB">
      <w:pPr>
        <w:pStyle w:val="ListParagraph"/>
        <w:numPr>
          <w:ilvl w:val="0"/>
          <w:numId w:val="8"/>
        </w:numPr>
        <w:spacing w:after="180" w:line="240" w:lineRule="auto"/>
        <w:rPr>
          <w:rFonts w:ascii="Times New Roman" w:hAnsi="Times New Roman" w:cs="Times New Roman"/>
          <w:sz w:val="20"/>
          <w:szCs w:val="20"/>
        </w:rPr>
      </w:pPr>
      <w:bookmarkStart w:id="4" w:name="_Ref109826614"/>
      <w:bookmarkStart w:id="5" w:name="_Ref90885930"/>
      <w:r w:rsidRPr="00BD64E1">
        <w:rPr>
          <w:rFonts w:ascii="Times New Roman" w:hAnsi="Times New Roman" w:cs="Times New Roman"/>
          <w:sz w:val="20"/>
          <w:szCs w:val="20"/>
        </w:rPr>
        <w:t xml:space="preserve">TR 23.700-28 </w:t>
      </w:r>
      <w:r w:rsidR="00AF7AB2" w:rsidRPr="00BD64E1">
        <w:rPr>
          <w:rFonts w:ascii="Times New Roman" w:hAnsi="Times New Roman" w:cs="Times New Roman"/>
          <w:sz w:val="20"/>
          <w:szCs w:val="20"/>
        </w:rPr>
        <w:t xml:space="preserve">” </w:t>
      </w:r>
      <w:proofErr w:type="spellStart"/>
      <w:r w:rsidR="00AF7AB2" w:rsidRPr="00BD64E1">
        <w:rPr>
          <w:rFonts w:ascii="Times New Roman" w:hAnsi="Times New Roman" w:cs="Times New Roman"/>
          <w:sz w:val="20"/>
          <w:szCs w:val="20"/>
        </w:rPr>
        <w:t>Study</w:t>
      </w:r>
      <w:proofErr w:type="spellEnd"/>
      <w:r w:rsidR="00AF7AB2" w:rsidRPr="00BD64E1">
        <w:rPr>
          <w:rFonts w:ascii="Times New Roman" w:hAnsi="Times New Roman" w:cs="Times New Roman"/>
          <w:sz w:val="20"/>
          <w:szCs w:val="20"/>
        </w:rPr>
        <w:t xml:space="preserve"> on </w:t>
      </w:r>
      <w:proofErr w:type="spellStart"/>
      <w:r w:rsidR="00AF7AB2" w:rsidRPr="00BD64E1">
        <w:rPr>
          <w:rFonts w:ascii="Times New Roman" w:hAnsi="Times New Roman" w:cs="Times New Roman"/>
          <w:sz w:val="20"/>
          <w:szCs w:val="20"/>
        </w:rPr>
        <w:t>Integration</w:t>
      </w:r>
      <w:proofErr w:type="spellEnd"/>
      <w:r w:rsidR="00AF7AB2" w:rsidRPr="00BD64E1">
        <w:rPr>
          <w:rFonts w:ascii="Times New Roman" w:hAnsi="Times New Roman" w:cs="Times New Roman"/>
          <w:sz w:val="20"/>
          <w:szCs w:val="20"/>
        </w:rPr>
        <w:t xml:space="preserve"> of </w:t>
      </w:r>
      <w:proofErr w:type="spellStart"/>
      <w:r w:rsidR="00AF7AB2" w:rsidRPr="00BD64E1">
        <w:rPr>
          <w:rFonts w:ascii="Times New Roman" w:hAnsi="Times New Roman" w:cs="Times New Roman"/>
          <w:sz w:val="20"/>
          <w:szCs w:val="20"/>
        </w:rPr>
        <w:t>satellite</w:t>
      </w:r>
      <w:proofErr w:type="spellEnd"/>
      <w:r w:rsidR="00AF7AB2" w:rsidRPr="00BD64E1">
        <w:rPr>
          <w:rFonts w:ascii="Times New Roman" w:hAnsi="Times New Roman" w:cs="Times New Roman"/>
          <w:sz w:val="20"/>
          <w:szCs w:val="20"/>
        </w:rPr>
        <w:t xml:space="preserve"> </w:t>
      </w:r>
      <w:proofErr w:type="spellStart"/>
      <w:r w:rsidR="00AF7AB2" w:rsidRPr="00BD64E1">
        <w:rPr>
          <w:rFonts w:ascii="Times New Roman" w:hAnsi="Times New Roman" w:cs="Times New Roman"/>
          <w:sz w:val="20"/>
          <w:szCs w:val="20"/>
        </w:rPr>
        <w:t>components</w:t>
      </w:r>
      <w:proofErr w:type="spellEnd"/>
      <w:r w:rsidR="00AF7AB2" w:rsidRPr="00BD64E1">
        <w:rPr>
          <w:rFonts w:ascii="Times New Roman" w:hAnsi="Times New Roman" w:cs="Times New Roman"/>
          <w:sz w:val="20"/>
          <w:szCs w:val="20"/>
        </w:rPr>
        <w:t xml:space="preserve"> in </w:t>
      </w:r>
      <w:proofErr w:type="spellStart"/>
      <w:r w:rsidR="00AF7AB2" w:rsidRPr="00BD64E1">
        <w:rPr>
          <w:rFonts w:ascii="Times New Roman" w:hAnsi="Times New Roman" w:cs="Times New Roman"/>
          <w:sz w:val="20"/>
          <w:szCs w:val="20"/>
        </w:rPr>
        <w:t>the</w:t>
      </w:r>
      <w:proofErr w:type="spellEnd"/>
      <w:r w:rsidR="00AF7AB2" w:rsidRPr="00BD64E1">
        <w:rPr>
          <w:rFonts w:ascii="Times New Roman" w:hAnsi="Times New Roman" w:cs="Times New Roman"/>
          <w:sz w:val="20"/>
          <w:szCs w:val="20"/>
        </w:rPr>
        <w:t xml:space="preserve"> 5G </w:t>
      </w:r>
      <w:proofErr w:type="spellStart"/>
      <w:r w:rsidR="00AF7AB2" w:rsidRPr="00BD64E1">
        <w:rPr>
          <w:rFonts w:ascii="Times New Roman" w:hAnsi="Times New Roman" w:cs="Times New Roman"/>
          <w:sz w:val="20"/>
          <w:szCs w:val="20"/>
        </w:rPr>
        <w:t>architecture</w:t>
      </w:r>
      <w:proofErr w:type="spellEnd"/>
      <w:r w:rsidR="00AF7AB2" w:rsidRPr="00BD64E1">
        <w:rPr>
          <w:rFonts w:ascii="Times New Roman" w:hAnsi="Times New Roman" w:cs="Times New Roman"/>
          <w:sz w:val="20"/>
          <w:szCs w:val="20"/>
        </w:rPr>
        <w:t xml:space="preserve">”, </w:t>
      </w:r>
      <w:proofErr w:type="spellStart"/>
      <w:r w:rsidR="00AB570B" w:rsidRPr="00BD64E1">
        <w:rPr>
          <w:rFonts w:ascii="Times New Roman" w:hAnsi="Times New Roman" w:cs="Times New Roman"/>
          <w:sz w:val="20"/>
          <w:szCs w:val="20"/>
        </w:rPr>
        <w:t>December</w:t>
      </w:r>
      <w:proofErr w:type="spellEnd"/>
      <w:r w:rsidR="00AF7AB2" w:rsidRPr="00BD64E1">
        <w:rPr>
          <w:rFonts w:ascii="Times New Roman" w:hAnsi="Times New Roman" w:cs="Times New Roman"/>
          <w:sz w:val="20"/>
          <w:szCs w:val="20"/>
        </w:rPr>
        <w:t xml:space="preserve"> 2022</w:t>
      </w:r>
      <w:bookmarkEnd w:id="4"/>
    </w:p>
    <w:p w14:paraId="5955E0BB" w14:textId="3C82D988" w:rsidR="00D413D8" w:rsidRPr="00BD64E1" w:rsidRDefault="007D3003" w:rsidP="00CD0CFB">
      <w:pPr>
        <w:pStyle w:val="ListParagraph"/>
        <w:numPr>
          <w:ilvl w:val="0"/>
          <w:numId w:val="8"/>
        </w:numPr>
        <w:spacing w:after="180" w:line="240" w:lineRule="auto"/>
        <w:rPr>
          <w:rFonts w:ascii="Times New Roman" w:hAnsi="Times New Roman" w:cs="Times New Roman"/>
          <w:sz w:val="20"/>
          <w:szCs w:val="20"/>
          <w:lang w:val="en-US"/>
        </w:rPr>
      </w:pPr>
      <w:bookmarkStart w:id="6" w:name="_Ref109826590"/>
      <w:r w:rsidRPr="00BD64E1">
        <w:rPr>
          <w:rFonts w:ascii="Times New Roman" w:hAnsi="Times New Roman" w:cs="Times New Roman"/>
          <w:sz w:val="20"/>
          <w:szCs w:val="20"/>
        </w:rPr>
        <w:t xml:space="preserve">R2-2110705, “On </w:t>
      </w:r>
      <w:proofErr w:type="spellStart"/>
      <w:r w:rsidRPr="00BD64E1">
        <w:rPr>
          <w:rFonts w:ascii="Times New Roman" w:hAnsi="Times New Roman" w:cs="Times New Roman"/>
          <w:sz w:val="20"/>
          <w:szCs w:val="20"/>
        </w:rPr>
        <w:t>aspects</w:t>
      </w:r>
      <w:proofErr w:type="spellEnd"/>
      <w:r w:rsidRPr="00BD64E1">
        <w:rPr>
          <w:rFonts w:ascii="Times New Roman" w:hAnsi="Times New Roman" w:cs="Times New Roman"/>
          <w:sz w:val="20"/>
          <w:szCs w:val="20"/>
        </w:rPr>
        <w:t xml:space="preserve"> of </w:t>
      </w:r>
      <w:proofErr w:type="spellStart"/>
      <w:r w:rsidRPr="00BD64E1">
        <w:rPr>
          <w:rFonts w:ascii="Times New Roman" w:hAnsi="Times New Roman" w:cs="Times New Roman"/>
          <w:sz w:val="20"/>
          <w:szCs w:val="20"/>
        </w:rPr>
        <w:t>discontinuous</w:t>
      </w:r>
      <w:proofErr w:type="spellEnd"/>
      <w:r w:rsidRPr="00BD64E1">
        <w:rPr>
          <w:rFonts w:ascii="Times New Roman" w:hAnsi="Times New Roman" w:cs="Times New Roman"/>
          <w:sz w:val="20"/>
          <w:szCs w:val="20"/>
        </w:rPr>
        <w:t xml:space="preserve"> </w:t>
      </w:r>
      <w:proofErr w:type="spellStart"/>
      <w:r w:rsidRPr="00BD64E1">
        <w:rPr>
          <w:rFonts w:ascii="Times New Roman" w:hAnsi="Times New Roman" w:cs="Times New Roman"/>
          <w:sz w:val="20"/>
          <w:szCs w:val="20"/>
        </w:rPr>
        <w:t>coverage</w:t>
      </w:r>
      <w:proofErr w:type="spellEnd"/>
      <w:r w:rsidRPr="00BD64E1">
        <w:rPr>
          <w:rFonts w:ascii="Times New Roman" w:hAnsi="Times New Roman" w:cs="Times New Roman"/>
          <w:sz w:val="20"/>
          <w:szCs w:val="20"/>
        </w:rPr>
        <w:t xml:space="preserve"> in </w:t>
      </w:r>
      <w:proofErr w:type="spellStart"/>
      <w:r w:rsidRPr="00BD64E1">
        <w:rPr>
          <w:rFonts w:ascii="Times New Roman" w:hAnsi="Times New Roman" w:cs="Times New Roman"/>
          <w:sz w:val="20"/>
          <w:szCs w:val="20"/>
        </w:rPr>
        <w:t>IoT</w:t>
      </w:r>
      <w:proofErr w:type="spellEnd"/>
      <w:r w:rsidRPr="00BD64E1">
        <w:rPr>
          <w:rFonts w:ascii="Times New Roman" w:hAnsi="Times New Roman" w:cs="Times New Roman"/>
          <w:sz w:val="20"/>
          <w:szCs w:val="20"/>
        </w:rPr>
        <w:t xml:space="preserve"> NTN”, Nokia, Nokia Shanghai Bell</w:t>
      </w:r>
      <w:bookmarkEnd w:id="5"/>
      <w:bookmarkEnd w:id="6"/>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35F46" w14:textId="77777777" w:rsidR="00200AD1" w:rsidRDefault="00200AD1">
      <w:r>
        <w:separator/>
      </w:r>
    </w:p>
  </w:endnote>
  <w:endnote w:type="continuationSeparator" w:id="0">
    <w:p w14:paraId="5800A778" w14:textId="77777777" w:rsidR="00200AD1" w:rsidRDefault="00200AD1">
      <w:r>
        <w:continuationSeparator/>
      </w:r>
    </w:p>
  </w:endnote>
  <w:endnote w:type="continuationNotice" w:id="1">
    <w:p w14:paraId="35A5F508" w14:textId="77777777" w:rsidR="00200AD1" w:rsidRDefault="00200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2B694" w14:textId="77777777" w:rsidR="00200AD1" w:rsidRDefault="00200AD1">
      <w:r>
        <w:separator/>
      </w:r>
    </w:p>
  </w:footnote>
  <w:footnote w:type="continuationSeparator" w:id="0">
    <w:p w14:paraId="715EF73B" w14:textId="77777777" w:rsidR="00200AD1" w:rsidRDefault="00200AD1">
      <w:r>
        <w:continuationSeparator/>
      </w:r>
    </w:p>
  </w:footnote>
  <w:footnote w:type="continuationNotice" w:id="1">
    <w:p w14:paraId="17BB769E" w14:textId="77777777" w:rsidR="00200AD1" w:rsidRDefault="00200A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A5412"/>
    <w:multiLevelType w:val="hybridMultilevel"/>
    <w:tmpl w:val="FF4A5226"/>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8D7908"/>
    <w:multiLevelType w:val="hybridMultilevel"/>
    <w:tmpl w:val="05F83DCC"/>
    <w:lvl w:ilvl="0" w:tplc="24483584">
      <w:start w:val="1"/>
      <w:numFmt w:val="bullet"/>
      <w:lvlText w:val="•"/>
      <w:lvlJc w:val="left"/>
      <w:pPr>
        <w:tabs>
          <w:tab w:val="num" w:pos="720"/>
        </w:tabs>
        <w:ind w:left="720" w:hanging="360"/>
      </w:pPr>
      <w:rPr>
        <w:rFonts w:ascii="Arial" w:hAnsi="Arial" w:hint="default"/>
      </w:rPr>
    </w:lvl>
    <w:lvl w:ilvl="1" w:tplc="78723A90">
      <w:start w:val="1"/>
      <w:numFmt w:val="bullet"/>
      <w:lvlText w:val="•"/>
      <w:lvlJc w:val="left"/>
      <w:pPr>
        <w:tabs>
          <w:tab w:val="num" w:pos="1440"/>
        </w:tabs>
        <w:ind w:left="1440" w:hanging="360"/>
      </w:pPr>
      <w:rPr>
        <w:rFonts w:ascii="Arial" w:hAnsi="Arial" w:hint="default"/>
      </w:rPr>
    </w:lvl>
    <w:lvl w:ilvl="2" w:tplc="2898D0D4">
      <w:numFmt w:val="bullet"/>
      <w:lvlText w:val="•"/>
      <w:lvlJc w:val="left"/>
      <w:pPr>
        <w:tabs>
          <w:tab w:val="num" w:pos="2160"/>
        </w:tabs>
        <w:ind w:left="2160" w:hanging="360"/>
      </w:pPr>
      <w:rPr>
        <w:rFonts w:ascii="Arial" w:hAnsi="Arial" w:hint="default"/>
      </w:rPr>
    </w:lvl>
    <w:lvl w:ilvl="3" w:tplc="D6980B80">
      <w:numFmt w:val="bullet"/>
      <w:lvlText w:val="•"/>
      <w:lvlJc w:val="left"/>
      <w:pPr>
        <w:tabs>
          <w:tab w:val="num" w:pos="2880"/>
        </w:tabs>
        <w:ind w:left="2880" w:hanging="360"/>
      </w:pPr>
      <w:rPr>
        <w:rFonts w:ascii="Arial" w:hAnsi="Arial" w:hint="default"/>
      </w:rPr>
    </w:lvl>
    <w:lvl w:ilvl="4" w:tplc="ADE26DE4" w:tentative="1">
      <w:start w:val="1"/>
      <w:numFmt w:val="bullet"/>
      <w:lvlText w:val="•"/>
      <w:lvlJc w:val="left"/>
      <w:pPr>
        <w:tabs>
          <w:tab w:val="num" w:pos="3600"/>
        </w:tabs>
        <w:ind w:left="3600" w:hanging="360"/>
      </w:pPr>
      <w:rPr>
        <w:rFonts w:ascii="Arial" w:hAnsi="Arial" w:hint="default"/>
      </w:rPr>
    </w:lvl>
    <w:lvl w:ilvl="5" w:tplc="1CCC0FBA" w:tentative="1">
      <w:start w:val="1"/>
      <w:numFmt w:val="bullet"/>
      <w:lvlText w:val="•"/>
      <w:lvlJc w:val="left"/>
      <w:pPr>
        <w:tabs>
          <w:tab w:val="num" w:pos="4320"/>
        </w:tabs>
        <w:ind w:left="4320" w:hanging="360"/>
      </w:pPr>
      <w:rPr>
        <w:rFonts w:ascii="Arial" w:hAnsi="Arial" w:hint="default"/>
      </w:rPr>
    </w:lvl>
    <w:lvl w:ilvl="6" w:tplc="9264A134" w:tentative="1">
      <w:start w:val="1"/>
      <w:numFmt w:val="bullet"/>
      <w:lvlText w:val="•"/>
      <w:lvlJc w:val="left"/>
      <w:pPr>
        <w:tabs>
          <w:tab w:val="num" w:pos="5040"/>
        </w:tabs>
        <w:ind w:left="5040" w:hanging="360"/>
      </w:pPr>
      <w:rPr>
        <w:rFonts w:ascii="Arial" w:hAnsi="Arial" w:hint="default"/>
      </w:rPr>
    </w:lvl>
    <w:lvl w:ilvl="7" w:tplc="DAA2251C" w:tentative="1">
      <w:start w:val="1"/>
      <w:numFmt w:val="bullet"/>
      <w:lvlText w:val="•"/>
      <w:lvlJc w:val="left"/>
      <w:pPr>
        <w:tabs>
          <w:tab w:val="num" w:pos="5760"/>
        </w:tabs>
        <w:ind w:left="5760" w:hanging="360"/>
      </w:pPr>
      <w:rPr>
        <w:rFonts w:ascii="Arial" w:hAnsi="Arial" w:hint="default"/>
      </w:rPr>
    </w:lvl>
    <w:lvl w:ilvl="8" w:tplc="1AAA4D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AE91BF5"/>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1657A4"/>
    <w:multiLevelType w:val="hybridMultilevel"/>
    <w:tmpl w:val="EE501A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48E17CB"/>
    <w:multiLevelType w:val="hybridMultilevel"/>
    <w:tmpl w:val="0180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E58D1"/>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24257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538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5632879">
    <w:abstractNumId w:val="1"/>
  </w:num>
  <w:num w:numId="4" w16cid:durableId="1824271168">
    <w:abstractNumId w:val="6"/>
  </w:num>
  <w:num w:numId="5" w16cid:durableId="2054233342">
    <w:abstractNumId w:val="5"/>
  </w:num>
  <w:num w:numId="6" w16cid:durableId="1996955585">
    <w:abstractNumId w:val="7"/>
  </w:num>
  <w:num w:numId="7" w16cid:durableId="893156362">
    <w:abstractNumId w:val="8"/>
  </w:num>
  <w:num w:numId="8" w16cid:durableId="1065682952">
    <w:abstractNumId w:val="4"/>
  </w:num>
  <w:num w:numId="9" w16cid:durableId="526598890">
    <w:abstractNumId w:val="3"/>
  </w:num>
  <w:num w:numId="10" w16cid:durableId="1117602150">
    <w:abstractNumId w:val="11"/>
  </w:num>
  <w:num w:numId="11" w16cid:durableId="77294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953634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3958641">
    <w:abstractNumId w:val="2"/>
  </w:num>
  <w:num w:numId="14" w16cid:durableId="1457790493">
    <w:abstractNumId w:val="9"/>
  </w:num>
  <w:num w:numId="15" w16cid:durableId="17158845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B69"/>
    <w:rsid w:val="00014527"/>
    <w:rsid w:val="00016557"/>
    <w:rsid w:val="000219A0"/>
    <w:rsid w:val="00022011"/>
    <w:rsid w:val="00023C40"/>
    <w:rsid w:val="000260BE"/>
    <w:rsid w:val="00031FED"/>
    <w:rsid w:val="00033397"/>
    <w:rsid w:val="00033D50"/>
    <w:rsid w:val="00035421"/>
    <w:rsid w:val="00040095"/>
    <w:rsid w:val="00047FBD"/>
    <w:rsid w:val="00051B24"/>
    <w:rsid w:val="00052CFB"/>
    <w:rsid w:val="00065268"/>
    <w:rsid w:val="0006656D"/>
    <w:rsid w:val="00073C9C"/>
    <w:rsid w:val="00074E9F"/>
    <w:rsid w:val="00076412"/>
    <w:rsid w:val="00080512"/>
    <w:rsid w:val="000875F7"/>
    <w:rsid w:val="00090468"/>
    <w:rsid w:val="00093FE8"/>
    <w:rsid w:val="00094568"/>
    <w:rsid w:val="00094CA6"/>
    <w:rsid w:val="00097EF4"/>
    <w:rsid w:val="000A6E44"/>
    <w:rsid w:val="000A711C"/>
    <w:rsid w:val="000B1306"/>
    <w:rsid w:val="000B7BCF"/>
    <w:rsid w:val="000C2C5E"/>
    <w:rsid w:val="000C4E72"/>
    <w:rsid w:val="000C522B"/>
    <w:rsid w:val="000D58AB"/>
    <w:rsid w:val="000E3DC8"/>
    <w:rsid w:val="000E5380"/>
    <w:rsid w:val="000E578E"/>
    <w:rsid w:val="000E6A0B"/>
    <w:rsid w:val="000F46C7"/>
    <w:rsid w:val="000F48A0"/>
    <w:rsid w:val="000F5CAC"/>
    <w:rsid w:val="00112F1A"/>
    <w:rsid w:val="00113D77"/>
    <w:rsid w:val="0011602A"/>
    <w:rsid w:val="0012151F"/>
    <w:rsid w:val="00121F00"/>
    <w:rsid w:val="0012406A"/>
    <w:rsid w:val="001246B1"/>
    <w:rsid w:val="001316E6"/>
    <w:rsid w:val="00133A1A"/>
    <w:rsid w:val="00145075"/>
    <w:rsid w:val="00155E0D"/>
    <w:rsid w:val="00160392"/>
    <w:rsid w:val="00161E9B"/>
    <w:rsid w:val="00171BDB"/>
    <w:rsid w:val="001741A0"/>
    <w:rsid w:val="00175FA0"/>
    <w:rsid w:val="001933FA"/>
    <w:rsid w:val="00194CD0"/>
    <w:rsid w:val="001969E2"/>
    <w:rsid w:val="001A0A89"/>
    <w:rsid w:val="001B49C9"/>
    <w:rsid w:val="001C23F4"/>
    <w:rsid w:val="001C2CF1"/>
    <w:rsid w:val="001C4F79"/>
    <w:rsid w:val="001D13AB"/>
    <w:rsid w:val="001D1B7D"/>
    <w:rsid w:val="001D32CC"/>
    <w:rsid w:val="001E6A28"/>
    <w:rsid w:val="001F168B"/>
    <w:rsid w:val="001F31C7"/>
    <w:rsid w:val="001F7831"/>
    <w:rsid w:val="00200AD1"/>
    <w:rsid w:val="00203043"/>
    <w:rsid w:val="00204045"/>
    <w:rsid w:val="0020601C"/>
    <w:rsid w:val="0020712B"/>
    <w:rsid w:val="002102B5"/>
    <w:rsid w:val="0021033D"/>
    <w:rsid w:val="002133AB"/>
    <w:rsid w:val="002252C8"/>
    <w:rsid w:val="0022606D"/>
    <w:rsid w:val="00231728"/>
    <w:rsid w:val="00234890"/>
    <w:rsid w:val="00237E18"/>
    <w:rsid w:val="00244A05"/>
    <w:rsid w:val="00250404"/>
    <w:rsid w:val="00255F19"/>
    <w:rsid w:val="00256B74"/>
    <w:rsid w:val="00256EC1"/>
    <w:rsid w:val="002610D8"/>
    <w:rsid w:val="002630E2"/>
    <w:rsid w:val="0027209C"/>
    <w:rsid w:val="002747EC"/>
    <w:rsid w:val="00277650"/>
    <w:rsid w:val="002855BF"/>
    <w:rsid w:val="00290E24"/>
    <w:rsid w:val="00293CB5"/>
    <w:rsid w:val="00294952"/>
    <w:rsid w:val="002A0FD9"/>
    <w:rsid w:val="002A6397"/>
    <w:rsid w:val="002A7D3D"/>
    <w:rsid w:val="002B2988"/>
    <w:rsid w:val="002F07B4"/>
    <w:rsid w:val="002F0D22"/>
    <w:rsid w:val="003034FC"/>
    <w:rsid w:val="00305372"/>
    <w:rsid w:val="00306BFC"/>
    <w:rsid w:val="00311B17"/>
    <w:rsid w:val="00315DFD"/>
    <w:rsid w:val="003172DC"/>
    <w:rsid w:val="003254A0"/>
    <w:rsid w:val="00325AE3"/>
    <w:rsid w:val="00326069"/>
    <w:rsid w:val="003319DE"/>
    <w:rsid w:val="003356FB"/>
    <w:rsid w:val="00335C64"/>
    <w:rsid w:val="00337A27"/>
    <w:rsid w:val="00340AFB"/>
    <w:rsid w:val="003424E9"/>
    <w:rsid w:val="00346470"/>
    <w:rsid w:val="00351652"/>
    <w:rsid w:val="0035462D"/>
    <w:rsid w:val="0036459E"/>
    <w:rsid w:val="00364B41"/>
    <w:rsid w:val="00376547"/>
    <w:rsid w:val="00383096"/>
    <w:rsid w:val="00383924"/>
    <w:rsid w:val="0039346C"/>
    <w:rsid w:val="00396C87"/>
    <w:rsid w:val="003A1DBB"/>
    <w:rsid w:val="003A41EF"/>
    <w:rsid w:val="003B1E60"/>
    <w:rsid w:val="003B242D"/>
    <w:rsid w:val="003B40AD"/>
    <w:rsid w:val="003B624D"/>
    <w:rsid w:val="003C282A"/>
    <w:rsid w:val="003C4E37"/>
    <w:rsid w:val="003D533A"/>
    <w:rsid w:val="003D7953"/>
    <w:rsid w:val="003E16BE"/>
    <w:rsid w:val="003E1D86"/>
    <w:rsid w:val="003F3532"/>
    <w:rsid w:val="003F4E28"/>
    <w:rsid w:val="004006E8"/>
    <w:rsid w:val="00401186"/>
    <w:rsid w:val="00401855"/>
    <w:rsid w:val="0040216A"/>
    <w:rsid w:val="004022DC"/>
    <w:rsid w:val="00403DB8"/>
    <w:rsid w:val="00423926"/>
    <w:rsid w:val="004304CB"/>
    <w:rsid w:val="00431CB0"/>
    <w:rsid w:val="004339C7"/>
    <w:rsid w:val="00446C3A"/>
    <w:rsid w:val="00446C9E"/>
    <w:rsid w:val="00450565"/>
    <w:rsid w:val="0045198D"/>
    <w:rsid w:val="004625FB"/>
    <w:rsid w:val="00465587"/>
    <w:rsid w:val="004705C4"/>
    <w:rsid w:val="0047207C"/>
    <w:rsid w:val="00477455"/>
    <w:rsid w:val="00477D08"/>
    <w:rsid w:val="00481F58"/>
    <w:rsid w:val="004826B2"/>
    <w:rsid w:val="00482FE2"/>
    <w:rsid w:val="004837E6"/>
    <w:rsid w:val="00483AAB"/>
    <w:rsid w:val="00485154"/>
    <w:rsid w:val="004918E6"/>
    <w:rsid w:val="0049750F"/>
    <w:rsid w:val="004A1F7B"/>
    <w:rsid w:val="004A5988"/>
    <w:rsid w:val="004B0942"/>
    <w:rsid w:val="004B522F"/>
    <w:rsid w:val="004B7159"/>
    <w:rsid w:val="004C44D2"/>
    <w:rsid w:val="004D0B9C"/>
    <w:rsid w:val="004D1840"/>
    <w:rsid w:val="004D2614"/>
    <w:rsid w:val="004D3578"/>
    <w:rsid w:val="004D380D"/>
    <w:rsid w:val="004D44CC"/>
    <w:rsid w:val="004E213A"/>
    <w:rsid w:val="004E28A8"/>
    <w:rsid w:val="004E4BAB"/>
    <w:rsid w:val="004E6398"/>
    <w:rsid w:val="004F1946"/>
    <w:rsid w:val="004F3FB2"/>
    <w:rsid w:val="004F4540"/>
    <w:rsid w:val="004F4CF3"/>
    <w:rsid w:val="004F73A7"/>
    <w:rsid w:val="00500DC7"/>
    <w:rsid w:val="005012E2"/>
    <w:rsid w:val="0050267A"/>
    <w:rsid w:val="005028B5"/>
    <w:rsid w:val="00503171"/>
    <w:rsid w:val="00506C28"/>
    <w:rsid w:val="005078C3"/>
    <w:rsid w:val="00507C78"/>
    <w:rsid w:val="0051512E"/>
    <w:rsid w:val="00521EBA"/>
    <w:rsid w:val="00534DA0"/>
    <w:rsid w:val="005355FD"/>
    <w:rsid w:val="00542152"/>
    <w:rsid w:val="00543876"/>
    <w:rsid w:val="00543E6C"/>
    <w:rsid w:val="0054642F"/>
    <w:rsid w:val="0054657B"/>
    <w:rsid w:val="00546D8C"/>
    <w:rsid w:val="00551BFF"/>
    <w:rsid w:val="005546FE"/>
    <w:rsid w:val="005555AC"/>
    <w:rsid w:val="00562487"/>
    <w:rsid w:val="00565087"/>
    <w:rsid w:val="0056573F"/>
    <w:rsid w:val="0057016B"/>
    <w:rsid w:val="00571279"/>
    <w:rsid w:val="005821A4"/>
    <w:rsid w:val="005833CC"/>
    <w:rsid w:val="00583C72"/>
    <w:rsid w:val="0058516F"/>
    <w:rsid w:val="0058605D"/>
    <w:rsid w:val="005911FD"/>
    <w:rsid w:val="0059261E"/>
    <w:rsid w:val="0059631D"/>
    <w:rsid w:val="0059666B"/>
    <w:rsid w:val="005A13AB"/>
    <w:rsid w:val="005A49C6"/>
    <w:rsid w:val="005C1ACC"/>
    <w:rsid w:val="005C48C5"/>
    <w:rsid w:val="005C766E"/>
    <w:rsid w:val="005C7CD5"/>
    <w:rsid w:val="005E01FD"/>
    <w:rsid w:val="005E0895"/>
    <w:rsid w:val="005E5310"/>
    <w:rsid w:val="005E58B0"/>
    <w:rsid w:val="005E61B8"/>
    <w:rsid w:val="005E6E98"/>
    <w:rsid w:val="005F0BAD"/>
    <w:rsid w:val="005F34F4"/>
    <w:rsid w:val="005F42AB"/>
    <w:rsid w:val="005F6C62"/>
    <w:rsid w:val="00602327"/>
    <w:rsid w:val="00610A05"/>
    <w:rsid w:val="00610BD2"/>
    <w:rsid w:val="00611566"/>
    <w:rsid w:val="00613015"/>
    <w:rsid w:val="006149E0"/>
    <w:rsid w:val="00617AF2"/>
    <w:rsid w:val="0062140F"/>
    <w:rsid w:val="0062449A"/>
    <w:rsid w:val="00624E08"/>
    <w:rsid w:val="006250D9"/>
    <w:rsid w:val="00634626"/>
    <w:rsid w:val="00636C69"/>
    <w:rsid w:val="00642938"/>
    <w:rsid w:val="00644DC5"/>
    <w:rsid w:val="00646D99"/>
    <w:rsid w:val="00651215"/>
    <w:rsid w:val="00653858"/>
    <w:rsid w:val="006538D4"/>
    <w:rsid w:val="00654BC0"/>
    <w:rsid w:val="00656910"/>
    <w:rsid w:val="006574C0"/>
    <w:rsid w:val="00661419"/>
    <w:rsid w:val="006623B7"/>
    <w:rsid w:val="00676E2D"/>
    <w:rsid w:val="00696821"/>
    <w:rsid w:val="006A3D56"/>
    <w:rsid w:val="006A66CA"/>
    <w:rsid w:val="006B2D6B"/>
    <w:rsid w:val="006B6D0E"/>
    <w:rsid w:val="006B7F5D"/>
    <w:rsid w:val="006C66D8"/>
    <w:rsid w:val="006C7F9A"/>
    <w:rsid w:val="006D1E24"/>
    <w:rsid w:val="006D35DE"/>
    <w:rsid w:val="006E1057"/>
    <w:rsid w:val="006E1417"/>
    <w:rsid w:val="006E59AF"/>
    <w:rsid w:val="006E7C59"/>
    <w:rsid w:val="006E7F3C"/>
    <w:rsid w:val="006F4A61"/>
    <w:rsid w:val="006F6A2C"/>
    <w:rsid w:val="0070100D"/>
    <w:rsid w:val="00701AF9"/>
    <w:rsid w:val="00704084"/>
    <w:rsid w:val="007069DC"/>
    <w:rsid w:val="00710201"/>
    <w:rsid w:val="0072073A"/>
    <w:rsid w:val="007342B5"/>
    <w:rsid w:val="00734345"/>
    <w:rsid w:val="00734A5B"/>
    <w:rsid w:val="007373F7"/>
    <w:rsid w:val="00737BA8"/>
    <w:rsid w:val="0074089D"/>
    <w:rsid w:val="007437FE"/>
    <w:rsid w:val="00744E76"/>
    <w:rsid w:val="00751CC0"/>
    <w:rsid w:val="00757D40"/>
    <w:rsid w:val="007662B5"/>
    <w:rsid w:val="007667CE"/>
    <w:rsid w:val="00780441"/>
    <w:rsid w:val="00781F0F"/>
    <w:rsid w:val="0078604A"/>
    <w:rsid w:val="0078727C"/>
    <w:rsid w:val="0079049D"/>
    <w:rsid w:val="0079203B"/>
    <w:rsid w:val="00793DC5"/>
    <w:rsid w:val="00796823"/>
    <w:rsid w:val="00797437"/>
    <w:rsid w:val="007A2E55"/>
    <w:rsid w:val="007A3BF3"/>
    <w:rsid w:val="007A46DA"/>
    <w:rsid w:val="007A4DB6"/>
    <w:rsid w:val="007A7815"/>
    <w:rsid w:val="007B1330"/>
    <w:rsid w:val="007B18D8"/>
    <w:rsid w:val="007B28FA"/>
    <w:rsid w:val="007C095F"/>
    <w:rsid w:val="007C2C55"/>
    <w:rsid w:val="007C2DD0"/>
    <w:rsid w:val="007C6A3F"/>
    <w:rsid w:val="007D1403"/>
    <w:rsid w:val="007D3003"/>
    <w:rsid w:val="007E47E2"/>
    <w:rsid w:val="007E5517"/>
    <w:rsid w:val="007E6AD9"/>
    <w:rsid w:val="007F2E08"/>
    <w:rsid w:val="007F528C"/>
    <w:rsid w:val="007F65F9"/>
    <w:rsid w:val="00801AF4"/>
    <w:rsid w:val="008024FA"/>
    <w:rsid w:val="008028A4"/>
    <w:rsid w:val="00813245"/>
    <w:rsid w:val="008141A2"/>
    <w:rsid w:val="008160D9"/>
    <w:rsid w:val="008172AE"/>
    <w:rsid w:val="008222E0"/>
    <w:rsid w:val="00822FBD"/>
    <w:rsid w:val="00823474"/>
    <w:rsid w:val="00826ED9"/>
    <w:rsid w:val="00827147"/>
    <w:rsid w:val="00827764"/>
    <w:rsid w:val="00831224"/>
    <w:rsid w:val="00840DE0"/>
    <w:rsid w:val="00843E7A"/>
    <w:rsid w:val="00847CD0"/>
    <w:rsid w:val="00853079"/>
    <w:rsid w:val="008607A8"/>
    <w:rsid w:val="0086354A"/>
    <w:rsid w:val="00863EE2"/>
    <w:rsid w:val="008768CA"/>
    <w:rsid w:val="00877EF9"/>
    <w:rsid w:val="00880559"/>
    <w:rsid w:val="00882529"/>
    <w:rsid w:val="008903A4"/>
    <w:rsid w:val="00890E4D"/>
    <w:rsid w:val="00891ABB"/>
    <w:rsid w:val="00891BB7"/>
    <w:rsid w:val="0089685E"/>
    <w:rsid w:val="008B5306"/>
    <w:rsid w:val="008B76F6"/>
    <w:rsid w:val="008C2E2A"/>
    <w:rsid w:val="008C3057"/>
    <w:rsid w:val="008C58C3"/>
    <w:rsid w:val="008D2E4D"/>
    <w:rsid w:val="008D31CE"/>
    <w:rsid w:val="008D4505"/>
    <w:rsid w:val="008D7BE0"/>
    <w:rsid w:val="008E0831"/>
    <w:rsid w:val="008F396F"/>
    <w:rsid w:val="008F3DCD"/>
    <w:rsid w:val="0090186D"/>
    <w:rsid w:val="00901E64"/>
    <w:rsid w:val="0090271F"/>
    <w:rsid w:val="00902DB9"/>
    <w:rsid w:val="0090466A"/>
    <w:rsid w:val="00910C37"/>
    <w:rsid w:val="009172A6"/>
    <w:rsid w:val="00920279"/>
    <w:rsid w:val="00923477"/>
    <w:rsid w:val="0092351C"/>
    <w:rsid w:val="00923655"/>
    <w:rsid w:val="009339CB"/>
    <w:rsid w:val="009346A1"/>
    <w:rsid w:val="009348E5"/>
    <w:rsid w:val="00936071"/>
    <w:rsid w:val="009376CD"/>
    <w:rsid w:val="00940212"/>
    <w:rsid w:val="0094265F"/>
    <w:rsid w:val="00942EC2"/>
    <w:rsid w:val="00944199"/>
    <w:rsid w:val="00945C07"/>
    <w:rsid w:val="00952F0E"/>
    <w:rsid w:val="00953C3C"/>
    <w:rsid w:val="00955279"/>
    <w:rsid w:val="00961B32"/>
    <w:rsid w:val="00962509"/>
    <w:rsid w:val="00963E34"/>
    <w:rsid w:val="00970DB3"/>
    <w:rsid w:val="00973836"/>
    <w:rsid w:val="00974304"/>
    <w:rsid w:val="00974BB0"/>
    <w:rsid w:val="00975BCD"/>
    <w:rsid w:val="009928A9"/>
    <w:rsid w:val="009A011C"/>
    <w:rsid w:val="009A0AF3"/>
    <w:rsid w:val="009A498F"/>
    <w:rsid w:val="009B07CD"/>
    <w:rsid w:val="009B407C"/>
    <w:rsid w:val="009B7B7B"/>
    <w:rsid w:val="009C19E9"/>
    <w:rsid w:val="009D5D3B"/>
    <w:rsid w:val="009D74A6"/>
    <w:rsid w:val="009E0E87"/>
    <w:rsid w:val="009E687A"/>
    <w:rsid w:val="00A10F02"/>
    <w:rsid w:val="00A141F5"/>
    <w:rsid w:val="00A1525A"/>
    <w:rsid w:val="00A16B51"/>
    <w:rsid w:val="00A204CA"/>
    <w:rsid w:val="00A209D6"/>
    <w:rsid w:val="00A20EED"/>
    <w:rsid w:val="00A21A99"/>
    <w:rsid w:val="00A22738"/>
    <w:rsid w:val="00A32082"/>
    <w:rsid w:val="00A352DC"/>
    <w:rsid w:val="00A35FCC"/>
    <w:rsid w:val="00A36F5F"/>
    <w:rsid w:val="00A406C7"/>
    <w:rsid w:val="00A430EC"/>
    <w:rsid w:val="00A50E52"/>
    <w:rsid w:val="00A53724"/>
    <w:rsid w:val="00A53D04"/>
    <w:rsid w:val="00A54B2B"/>
    <w:rsid w:val="00A5783B"/>
    <w:rsid w:val="00A703B6"/>
    <w:rsid w:val="00A704E6"/>
    <w:rsid w:val="00A74014"/>
    <w:rsid w:val="00A77BF9"/>
    <w:rsid w:val="00A80DDE"/>
    <w:rsid w:val="00A82346"/>
    <w:rsid w:val="00A843A2"/>
    <w:rsid w:val="00A85A06"/>
    <w:rsid w:val="00A95861"/>
    <w:rsid w:val="00A9671C"/>
    <w:rsid w:val="00AA1553"/>
    <w:rsid w:val="00AA3390"/>
    <w:rsid w:val="00AA4429"/>
    <w:rsid w:val="00AB27D5"/>
    <w:rsid w:val="00AB565B"/>
    <w:rsid w:val="00AB570B"/>
    <w:rsid w:val="00AC72B2"/>
    <w:rsid w:val="00AD1E43"/>
    <w:rsid w:val="00AD424D"/>
    <w:rsid w:val="00AD5C68"/>
    <w:rsid w:val="00AD726B"/>
    <w:rsid w:val="00AE2A3F"/>
    <w:rsid w:val="00AE7900"/>
    <w:rsid w:val="00AF7AB2"/>
    <w:rsid w:val="00B05380"/>
    <w:rsid w:val="00B05962"/>
    <w:rsid w:val="00B06D66"/>
    <w:rsid w:val="00B12336"/>
    <w:rsid w:val="00B15449"/>
    <w:rsid w:val="00B16C2F"/>
    <w:rsid w:val="00B22625"/>
    <w:rsid w:val="00B26F4F"/>
    <w:rsid w:val="00B27303"/>
    <w:rsid w:val="00B316F0"/>
    <w:rsid w:val="00B320B2"/>
    <w:rsid w:val="00B37719"/>
    <w:rsid w:val="00B4440A"/>
    <w:rsid w:val="00B47FD1"/>
    <w:rsid w:val="00B516BB"/>
    <w:rsid w:val="00B7538C"/>
    <w:rsid w:val="00B75804"/>
    <w:rsid w:val="00B77FF9"/>
    <w:rsid w:val="00B84DB2"/>
    <w:rsid w:val="00B87083"/>
    <w:rsid w:val="00B9421C"/>
    <w:rsid w:val="00BA561D"/>
    <w:rsid w:val="00BB09F4"/>
    <w:rsid w:val="00BB2160"/>
    <w:rsid w:val="00BB2A7B"/>
    <w:rsid w:val="00BC2D6E"/>
    <w:rsid w:val="00BC3555"/>
    <w:rsid w:val="00BD537F"/>
    <w:rsid w:val="00BD64E1"/>
    <w:rsid w:val="00BE4570"/>
    <w:rsid w:val="00BF7680"/>
    <w:rsid w:val="00C0523C"/>
    <w:rsid w:val="00C076AE"/>
    <w:rsid w:val="00C12B51"/>
    <w:rsid w:val="00C17117"/>
    <w:rsid w:val="00C20227"/>
    <w:rsid w:val="00C24650"/>
    <w:rsid w:val="00C25465"/>
    <w:rsid w:val="00C33079"/>
    <w:rsid w:val="00C41C90"/>
    <w:rsid w:val="00C507F2"/>
    <w:rsid w:val="00C52648"/>
    <w:rsid w:val="00C52B88"/>
    <w:rsid w:val="00C55A12"/>
    <w:rsid w:val="00C57044"/>
    <w:rsid w:val="00C60EA6"/>
    <w:rsid w:val="00C6474B"/>
    <w:rsid w:val="00C6553E"/>
    <w:rsid w:val="00C66012"/>
    <w:rsid w:val="00C67B4A"/>
    <w:rsid w:val="00C81BDF"/>
    <w:rsid w:val="00C83A13"/>
    <w:rsid w:val="00C852ED"/>
    <w:rsid w:val="00C85359"/>
    <w:rsid w:val="00C85381"/>
    <w:rsid w:val="00C86F10"/>
    <w:rsid w:val="00C9053B"/>
    <w:rsid w:val="00C9068C"/>
    <w:rsid w:val="00C92967"/>
    <w:rsid w:val="00C92C1A"/>
    <w:rsid w:val="00C93931"/>
    <w:rsid w:val="00C96C8F"/>
    <w:rsid w:val="00C97807"/>
    <w:rsid w:val="00CA147F"/>
    <w:rsid w:val="00CA1ADC"/>
    <w:rsid w:val="00CA3D0C"/>
    <w:rsid w:val="00CA654B"/>
    <w:rsid w:val="00CB3431"/>
    <w:rsid w:val="00CB72B8"/>
    <w:rsid w:val="00CD0BA8"/>
    <w:rsid w:val="00CD0CFB"/>
    <w:rsid w:val="00CD1FD8"/>
    <w:rsid w:val="00CD4C7B"/>
    <w:rsid w:val="00CD58FE"/>
    <w:rsid w:val="00CE258E"/>
    <w:rsid w:val="00CF2581"/>
    <w:rsid w:val="00CF2CDB"/>
    <w:rsid w:val="00CF2FAC"/>
    <w:rsid w:val="00CF3A2D"/>
    <w:rsid w:val="00CF45D3"/>
    <w:rsid w:val="00D01290"/>
    <w:rsid w:val="00D02438"/>
    <w:rsid w:val="00D02A4E"/>
    <w:rsid w:val="00D33BE3"/>
    <w:rsid w:val="00D34FFB"/>
    <w:rsid w:val="00D356AB"/>
    <w:rsid w:val="00D3726F"/>
    <w:rsid w:val="00D3792D"/>
    <w:rsid w:val="00D413D8"/>
    <w:rsid w:val="00D55E47"/>
    <w:rsid w:val="00D6020D"/>
    <w:rsid w:val="00D62E19"/>
    <w:rsid w:val="00D67CD1"/>
    <w:rsid w:val="00D738D6"/>
    <w:rsid w:val="00D80795"/>
    <w:rsid w:val="00D854BE"/>
    <w:rsid w:val="00D87E00"/>
    <w:rsid w:val="00D90A73"/>
    <w:rsid w:val="00D9134D"/>
    <w:rsid w:val="00D91DCE"/>
    <w:rsid w:val="00D96D11"/>
    <w:rsid w:val="00D974A2"/>
    <w:rsid w:val="00DA2475"/>
    <w:rsid w:val="00DA2E10"/>
    <w:rsid w:val="00DA7A03"/>
    <w:rsid w:val="00DB0DB8"/>
    <w:rsid w:val="00DB1818"/>
    <w:rsid w:val="00DB3152"/>
    <w:rsid w:val="00DC309B"/>
    <w:rsid w:val="00DC4DA2"/>
    <w:rsid w:val="00DC5261"/>
    <w:rsid w:val="00DD3826"/>
    <w:rsid w:val="00DD4887"/>
    <w:rsid w:val="00DE25D2"/>
    <w:rsid w:val="00DE6263"/>
    <w:rsid w:val="00DE6C14"/>
    <w:rsid w:val="00DF06FE"/>
    <w:rsid w:val="00DF2BB6"/>
    <w:rsid w:val="00DF4D57"/>
    <w:rsid w:val="00DF6DAB"/>
    <w:rsid w:val="00DF7C20"/>
    <w:rsid w:val="00E01B79"/>
    <w:rsid w:val="00E04FDD"/>
    <w:rsid w:val="00E1275D"/>
    <w:rsid w:val="00E14CE3"/>
    <w:rsid w:val="00E16793"/>
    <w:rsid w:val="00E25CC1"/>
    <w:rsid w:val="00E27118"/>
    <w:rsid w:val="00E30062"/>
    <w:rsid w:val="00E34F05"/>
    <w:rsid w:val="00E407F5"/>
    <w:rsid w:val="00E46C08"/>
    <w:rsid w:val="00E46FDF"/>
    <w:rsid w:val="00E471CF"/>
    <w:rsid w:val="00E554AD"/>
    <w:rsid w:val="00E6256B"/>
    <w:rsid w:val="00E62835"/>
    <w:rsid w:val="00E64869"/>
    <w:rsid w:val="00E725D1"/>
    <w:rsid w:val="00E72657"/>
    <w:rsid w:val="00E733B3"/>
    <w:rsid w:val="00E76FD5"/>
    <w:rsid w:val="00E77645"/>
    <w:rsid w:val="00E80FA6"/>
    <w:rsid w:val="00E811C7"/>
    <w:rsid w:val="00E83697"/>
    <w:rsid w:val="00E859B6"/>
    <w:rsid w:val="00E87A8F"/>
    <w:rsid w:val="00E94C6B"/>
    <w:rsid w:val="00EA31CA"/>
    <w:rsid w:val="00EA66C9"/>
    <w:rsid w:val="00EB0C73"/>
    <w:rsid w:val="00EB1498"/>
    <w:rsid w:val="00EB25FA"/>
    <w:rsid w:val="00EB5D32"/>
    <w:rsid w:val="00EB6B5C"/>
    <w:rsid w:val="00EC4A25"/>
    <w:rsid w:val="00ED0FDD"/>
    <w:rsid w:val="00ED317C"/>
    <w:rsid w:val="00EE0F3B"/>
    <w:rsid w:val="00EF0258"/>
    <w:rsid w:val="00EF0D92"/>
    <w:rsid w:val="00EF2633"/>
    <w:rsid w:val="00EF612C"/>
    <w:rsid w:val="00F025A2"/>
    <w:rsid w:val="00F02ADC"/>
    <w:rsid w:val="00F036E9"/>
    <w:rsid w:val="00F05262"/>
    <w:rsid w:val="00F0557D"/>
    <w:rsid w:val="00F0669C"/>
    <w:rsid w:val="00F07388"/>
    <w:rsid w:val="00F07CF2"/>
    <w:rsid w:val="00F13D32"/>
    <w:rsid w:val="00F13FDA"/>
    <w:rsid w:val="00F16940"/>
    <w:rsid w:val="00F1780E"/>
    <w:rsid w:val="00F2026E"/>
    <w:rsid w:val="00F2210A"/>
    <w:rsid w:val="00F239EA"/>
    <w:rsid w:val="00F23DAA"/>
    <w:rsid w:val="00F245BF"/>
    <w:rsid w:val="00F27A5D"/>
    <w:rsid w:val="00F31372"/>
    <w:rsid w:val="00F37743"/>
    <w:rsid w:val="00F47071"/>
    <w:rsid w:val="00F54A3D"/>
    <w:rsid w:val="00F54CB0"/>
    <w:rsid w:val="00F55B25"/>
    <w:rsid w:val="00F579CD"/>
    <w:rsid w:val="00F623D9"/>
    <w:rsid w:val="00F653B8"/>
    <w:rsid w:val="00F66DBC"/>
    <w:rsid w:val="00F7122C"/>
    <w:rsid w:val="00F71B89"/>
    <w:rsid w:val="00F7353C"/>
    <w:rsid w:val="00F76F8F"/>
    <w:rsid w:val="00F87257"/>
    <w:rsid w:val="00F91BF6"/>
    <w:rsid w:val="00F926F0"/>
    <w:rsid w:val="00F93DDE"/>
    <w:rsid w:val="00F941DF"/>
    <w:rsid w:val="00FA1266"/>
    <w:rsid w:val="00FB36FA"/>
    <w:rsid w:val="00FB6B10"/>
    <w:rsid w:val="00FC1192"/>
    <w:rsid w:val="00FC306F"/>
    <w:rsid w:val="00FC4C80"/>
    <w:rsid w:val="00FC5193"/>
    <w:rsid w:val="00FD1157"/>
    <w:rsid w:val="00FE106D"/>
    <w:rsid w:val="00FE251B"/>
    <w:rsid w:val="00FF35E8"/>
    <w:rsid w:val="00FF3897"/>
    <w:rsid w:val="00FF520D"/>
    <w:rsid w:val="02B295C4"/>
    <w:rsid w:val="2A6C752B"/>
    <w:rsid w:val="3C295A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5AF090A-B67D-468F-994F-DC87B19B6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F4D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42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3424E9"/>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3424E9"/>
    <w:rPr>
      <w:rFonts w:asciiTheme="minorHAnsi" w:eastAsiaTheme="minorEastAsia" w:hAnsiTheme="minorHAnsi" w:cstheme="minorBidi"/>
      <w:sz w:val="24"/>
      <w:szCs w:val="24"/>
      <w:lang w:val="fi-FI" w:eastAsia="zh-CN"/>
    </w:rPr>
  </w:style>
  <w:style w:type="character" w:customStyle="1" w:styleId="Heading2Char">
    <w:name w:val="Heading 2 Char"/>
    <w:basedOn w:val="DefaultParagraphFont"/>
    <w:link w:val="Heading2"/>
    <w:rsid w:val="005821A4"/>
    <w:rPr>
      <w:rFonts w:ascii="Arial" w:hAnsi="Arial"/>
      <w:sz w:val="32"/>
      <w:lang w:eastAsia="en-US"/>
    </w:rPr>
  </w:style>
  <w:style w:type="character" w:styleId="CommentReference">
    <w:name w:val="annotation reference"/>
    <w:basedOn w:val="DefaultParagraphFont"/>
    <w:rsid w:val="00C52648"/>
    <w:rPr>
      <w:sz w:val="16"/>
      <w:szCs w:val="16"/>
    </w:rPr>
  </w:style>
  <w:style w:type="paragraph" w:styleId="CommentText">
    <w:name w:val="annotation text"/>
    <w:basedOn w:val="Normal"/>
    <w:link w:val="CommentTextChar"/>
    <w:rsid w:val="00C52648"/>
  </w:style>
  <w:style w:type="character" w:customStyle="1" w:styleId="CommentTextChar">
    <w:name w:val="Comment Text Char"/>
    <w:basedOn w:val="DefaultParagraphFont"/>
    <w:link w:val="CommentText"/>
    <w:rsid w:val="00C52648"/>
    <w:rPr>
      <w:lang w:eastAsia="en-US"/>
    </w:rPr>
  </w:style>
  <w:style w:type="paragraph" w:styleId="CommentSubject">
    <w:name w:val="annotation subject"/>
    <w:basedOn w:val="CommentText"/>
    <w:next w:val="CommentText"/>
    <w:link w:val="CommentSubjectChar"/>
    <w:rsid w:val="00C52648"/>
    <w:rPr>
      <w:b/>
      <w:bCs/>
    </w:rPr>
  </w:style>
  <w:style w:type="character" w:customStyle="1" w:styleId="CommentSubjectChar">
    <w:name w:val="Comment Subject Char"/>
    <w:basedOn w:val="CommentTextChar"/>
    <w:link w:val="CommentSubject"/>
    <w:rsid w:val="00C52648"/>
    <w:rPr>
      <w:b/>
      <w:bCs/>
      <w:lang w:eastAsia="en-US"/>
    </w:rPr>
  </w:style>
  <w:style w:type="character" w:styleId="Emphasis">
    <w:name w:val="Emphasis"/>
    <w:basedOn w:val="DefaultParagraphFont"/>
    <w:qFormat/>
    <w:rsid w:val="00521EBA"/>
    <w:rPr>
      <w:i/>
      <w:iCs/>
    </w:rPr>
  </w:style>
  <w:style w:type="character" w:customStyle="1" w:styleId="PLChar">
    <w:name w:val="PL Char"/>
    <w:link w:val="PL"/>
    <w:qFormat/>
    <w:rsid w:val="00C66012"/>
    <w:rPr>
      <w:rFonts w:ascii="Courier New" w:hAnsi="Courier New"/>
      <w:noProof/>
      <w:sz w:val="16"/>
      <w:lang w:eastAsia="en-US"/>
    </w:rPr>
  </w:style>
  <w:style w:type="character" w:customStyle="1" w:styleId="B1Char">
    <w:name w:val="B1 Char"/>
    <w:link w:val="B1"/>
    <w:qFormat/>
    <w:locked/>
    <w:rsid w:val="00DE6263"/>
    <w:rPr>
      <w:lang w:eastAsia="en-US"/>
    </w:rPr>
  </w:style>
  <w:style w:type="character" w:customStyle="1" w:styleId="EditorsNoteChar">
    <w:name w:val="Editor's Note Char"/>
    <w:aliases w:val="EN Char"/>
    <w:link w:val="EditorsNote"/>
    <w:qFormat/>
    <w:locked/>
    <w:rsid w:val="00EB25FA"/>
    <w:rPr>
      <w:color w:val="FF0000"/>
      <w:lang w:eastAsia="en-US"/>
    </w:rPr>
  </w:style>
  <w:style w:type="paragraph" w:styleId="Caption">
    <w:name w:val="caption"/>
    <w:basedOn w:val="Normal"/>
    <w:next w:val="Normal"/>
    <w:unhideWhenUsed/>
    <w:qFormat/>
    <w:rsid w:val="008E0831"/>
    <w:pPr>
      <w:spacing w:after="200"/>
    </w:pPr>
    <w:rPr>
      <w:i/>
      <w:iCs/>
      <w:color w:val="44546A" w:themeColor="text2"/>
      <w:sz w:val="18"/>
      <w:szCs w:val="18"/>
    </w:rPr>
  </w:style>
  <w:style w:type="paragraph" w:styleId="Revision">
    <w:name w:val="Revision"/>
    <w:hidden/>
    <w:uiPriority w:val="99"/>
    <w:semiHidden/>
    <w:rsid w:val="0006656D"/>
    <w:rPr>
      <w:lang w:eastAsia="en-US"/>
    </w:rPr>
  </w:style>
  <w:style w:type="character" w:styleId="Mention">
    <w:name w:val="Mention"/>
    <w:basedOn w:val="DefaultParagraphFont"/>
    <w:uiPriority w:val="99"/>
    <w:unhideWhenUsed/>
    <w:rsid w:val="005C1A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9416">
      <w:bodyDiv w:val="1"/>
      <w:marLeft w:val="0"/>
      <w:marRight w:val="0"/>
      <w:marTop w:val="0"/>
      <w:marBottom w:val="0"/>
      <w:divBdr>
        <w:top w:val="none" w:sz="0" w:space="0" w:color="auto"/>
        <w:left w:val="none" w:sz="0" w:space="0" w:color="auto"/>
        <w:bottom w:val="none" w:sz="0" w:space="0" w:color="auto"/>
        <w:right w:val="none" w:sz="0" w:space="0" w:color="auto"/>
      </w:divBdr>
    </w:div>
    <w:div w:id="109590351">
      <w:bodyDiv w:val="1"/>
      <w:marLeft w:val="0"/>
      <w:marRight w:val="0"/>
      <w:marTop w:val="0"/>
      <w:marBottom w:val="0"/>
      <w:divBdr>
        <w:top w:val="none" w:sz="0" w:space="0" w:color="auto"/>
        <w:left w:val="none" w:sz="0" w:space="0" w:color="auto"/>
        <w:bottom w:val="none" w:sz="0" w:space="0" w:color="auto"/>
        <w:right w:val="none" w:sz="0" w:space="0" w:color="auto"/>
      </w:divBdr>
    </w:div>
    <w:div w:id="365523150">
      <w:bodyDiv w:val="1"/>
      <w:marLeft w:val="0"/>
      <w:marRight w:val="0"/>
      <w:marTop w:val="0"/>
      <w:marBottom w:val="0"/>
      <w:divBdr>
        <w:top w:val="none" w:sz="0" w:space="0" w:color="auto"/>
        <w:left w:val="none" w:sz="0" w:space="0" w:color="auto"/>
        <w:bottom w:val="none" w:sz="0" w:space="0" w:color="auto"/>
        <w:right w:val="none" w:sz="0" w:space="0" w:color="auto"/>
      </w:divBdr>
    </w:div>
    <w:div w:id="619645816">
      <w:bodyDiv w:val="1"/>
      <w:marLeft w:val="0"/>
      <w:marRight w:val="0"/>
      <w:marTop w:val="0"/>
      <w:marBottom w:val="0"/>
      <w:divBdr>
        <w:top w:val="none" w:sz="0" w:space="0" w:color="auto"/>
        <w:left w:val="none" w:sz="0" w:space="0" w:color="auto"/>
        <w:bottom w:val="none" w:sz="0" w:space="0" w:color="auto"/>
        <w:right w:val="none" w:sz="0" w:space="0" w:color="auto"/>
      </w:divBdr>
    </w:div>
    <w:div w:id="664817561">
      <w:bodyDiv w:val="1"/>
      <w:marLeft w:val="0"/>
      <w:marRight w:val="0"/>
      <w:marTop w:val="0"/>
      <w:marBottom w:val="0"/>
      <w:divBdr>
        <w:top w:val="none" w:sz="0" w:space="0" w:color="auto"/>
        <w:left w:val="none" w:sz="0" w:space="0" w:color="auto"/>
        <w:bottom w:val="none" w:sz="0" w:space="0" w:color="auto"/>
        <w:right w:val="none" w:sz="0" w:space="0" w:color="auto"/>
      </w:divBdr>
    </w:div>
    <w:div w:id="8548527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79387217">
      <w:bodyDiv w:val="1"/>
      <w:marLeft w:val="0"/>
      <w:marRight w:val="0"/>
      <w:marTop w:val="0"/>
      <w:marBottom w:val="0"/>
      <w:divBdr>
        <w:top w:val="none" w:sz="0" w:space="0" w:color="auto"/>
        <w:left w:val="none" w:sz="0" w:space="0" w:color="auto"/>
        <w:bottom w:val="none" w:sz="0" w:space="0" w:color="auto"/>
        <w:right w:val="none" w:sz="0" w:space="0" w:color="auto"/>
      </w:divBdr>
      <w:divsChild>
        <w:div w:id="353960446">
          <w:marLeft w:val="1541"/>
          <w:marRight w:val="0"/>
          <w:marTop w:val="0"/>
          <w:marBottom w:val="120"/>
          <w:divBdr>
            <w:top w:val="none" w:sz="0" w:space="0" w:color="auto"/>
            <w:left w:val="none" w:sz="0" w:space="0" w:color="auto"/>
            <w:bottom w:val="none" w:sz="0" w:space="0" w:color="auto"/>
            <w:right w:val="none" w:sz="0" w:space="0" w:color="auto"/>
          </w:divBdr>
        </w:div>
        <w:div w:id="409620904">
          <w:marLeft w:val="1181"/>
          <w:marRight w:val="0"/>
          <w:marTop w:val="0"/>
          <w:marBottom w:val="120"/>
          <w:divBdr>
            <w:top w:val="none" w:sz="0" w:space="0" w:color="auto"/>
            <w:left w:val="none" w:sz="0" w:space="0" w:color="auto"/>
            <w:bottom w:val="none" w:sz="0" w:space="0" w:color="auto"/>
            <w:right w:val="none" w:sz="0" w:space="0" w:color="auto"/>
          </w:divBdr>
        </w:div>
        <w:div w:id="1080062292">
          <w:marLeft w:val="1181"/>
          <w:marRight w:val="0"/>
          <w:marTop w:val="0"/>
          <w:marBottom w:val="120"/>
          <w:divBdr>
            <w:top w:val="none" w:sz="0" w:space="0" w:color="auto"/>
            <w:left w:val="none" w:sz="0" w:space="0" w:color="auto"/>
            <w:bottom w:val="none" w:sz="0" w:space="0" w:color="auto"/>
            <w:right w:val="none" w:sz="0" w:space="0" w:color="auto"/>
          </w:divBdr>
        </w:div>
        <w:div w:id="1444960930">
          <w:marLeft w:val="806"/>
          <w:marRight w:val="0"/>
          <w:marTop w:val="0"/>
          <w:marBottom w:val="120"/>
          <w:divBdr>
            <w:top w:val="none" w:sz="0" w:space="0" w:color="auto"/>
            <w:left w:val="none" w:sz="0" w:space="0" w:color="auto"/>
            <w:bottom w:val="none" w:sz="0" w:space="0" w:color="auto"/>
            <w:right w:val="none" w:sz="0" w:space="0" w:color="auto"/>
          </w:divBdr>
        </w:div>
        <w:div w:id="1907304173">
          <w:marLeft w:val="1181"/>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9771990">
      <w:bodyDiv w:val="1"/>
      <w:marLeft w:val="0"/>
      <w:marRight w:val="0"/>
      <w:marTop w:val="0"/>
      <w:marBottom w:val="0"/>
      <w:divBdr>
        <w:top w:val="none" w:sz="0" w:space="0" w:color="auto"/>
        <w:left w:val="none" w:sz="0" w:space="0" w:color="auto"/>
        <w:bottom w:val="none" w:sz="0" w:space="0" w:color="auto"/>
        <w:right w:val="none" w:sz="0" w:space="0" w:color="auto"/>
      </w:divBdr>
    </w:div>
    <w:div w:id="1299847400">
      <w:bodyDiv w:val="1"/>
      <w:marLeft w:val="0"/>
      <w:marRight w:val="0"/>
      <w:marTop w:val="0"/>
      <w:marBottom w:val="0"/>
      <w:divBdr>
        <w:top w:val="none" w:sz="0" w:space="0" w:color="auto"/>
        <w:left w:val="none" w:sz="0" w:space="0" w:color="auto"/>
        <w:bottom w:val="none" w:sz="0" w:space="0" w:color="auto"/>
        <w:right w:val="none" w:sz="0" w:space="0" w:color="auto"/>
      </w:divBdr>
    </w:div>
    <w:div w:id="1571574063">
      <w:bodyDiv w:val="1"/>
      <w:marLeft w:val="0"/>
      <w:marRight w:val="0"/>
      <w:marTop w:val="0"/>
      <w:marBottom w:val="0"/>
      <w:divBdr>
        <w:top w:val="none" w:sz="0" w:space="0" w:color="auto"/>
        <w:left w:val="none" w:sz="0" w:space="0" w:color="auto"/>
        <w:bottom w:val="none" w:sz="0" w:space="0" w:color="auto"/>
        <w:right w:val="none" w:sz="0" w:space="0" w:color="auto"/>
      </w:divBdr>
    </w:div>
    <w:div w:id="1574730927">
      <w:bodyDiv w:val="1"/>
      <w:marLeft w:val="0"/>
      <w:marRight w:val="0"/>
      <w:marTop w:val="0"/>
      <w:marBottom w:val="0"/>
      <w:divBdr>
        <w:top w:val="none" w:sz="0" w:space="0" w:color="auto"/>
        <w:left w:val="none" w:sz="0" w:space="0" w:color="auto"/>
        <w:bottom w:val="none" w:sz="0" w:space="0" w:color="auto"/>
        <w:right w:val="none" w:sz="0" w:space="0" w:color="auto"/>
      </w:divBdr>
    </w:div>
    <w:div w:id="1835997921">
      <w:bodyDiv w:val="1"/>
      <w:marLeft w:val="0"/>
      <w:marRight w:val="0"/>
      <w:marTop w:val="0"/>
      <w:marBottom w:val="0"/>
      <w:divBdr>
        <w:top w:val="none" w:sz="0" w:space="0" w:color="auto"/>
        <w:left w:val="none" w:sz="0" w:space="0" w:color="auto"/>
        <w:bottom w:val="none" w:sz="0" w:space="0" w:color="auto"/>
        <w:right w:val="none" w:sz="0" w:space="0" w:color="auto"/>
      </w:divBdr>
    </w:div>
    <w:div w:id="1836073863">
      <w:bodyDiv w:val="1"/>
      <w:marLeft w:val="0"/>
      <w:marRight w:val="0"/>
      <w:marTop w:val="0"/>
      <w:marBottom w:val="0"/>
      <w:divBdr>
        <w:top w:val="none" w:sz="0" w:space="0" w:color="auto"/>
        <w:left w:val="none" w:sz="0" w:space="0" w:color="auto"/>
        <w:bottom w:val="none" w:sz="0" w:space="0" w:color="auto"/>
        <w:right w:val="none" w:sz="0" w:space="0" w:color="auto"/>
      </w:divBdr>
    </w:div>
    <w:div w:id="1900624826">
      <w:bodyDiv w:val="1"/>
      <w:marLeft w:val="0"/>
      <w:marRight w:val="0"/>
      <w:marTop w:val="0"/>
      <w:marBottom w:val="0"/>
      <w:divBdr>
        <w:top w:val="none" w:sz="0" w:space="0" w:color="auto"/>
        <w:left w:val="none" w:sz="0" w:space="0" w:color="auto"/>
        <w:bottom w:val="none" w:sz="0" w:space="0" w:color="auto"/>
        <w:right w:val="none" w:sz="0" w:space="0" w:color="auto"/>
      </w:divBdr>
    </w:div>
    <w:div w:id="212507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5AIRPNAIUNRU-859666464-13704</_dlc_DocId>
    <_dlc_DocIdUrl xmlns="71c5aaf6-e6ce-465b-b873-5148d2a4c105">
      <Url>https://nokia.sharepoint.com/sites/c5g/e2earch/_layouts/15/DocIdRedir.aspx?ID=5AIRPNAIUNRU-859666464-13704</Url>
      <Description>5AIRPNAIUNRU-859666464-13704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9E0557-46DB-4486-BCD6-212EC8010B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05E7C21-E063-4C4B-9845-49C2234515CE}">
  <ds:schemaRefs>
    <ds:schemaRef ds:uri="http://schemas.microsoft.com/sharepoint/events"/>
  </ds:schemaRefs>
</ds:datastoreItem>
</file>

<file path=customXml/itemProps3.xml><?xml version="1.0" encoding="utf-8"?>
<ds:datastoreItem xmlns:ds="http://schemas.openxmlformats.org/officeDocument/2006/customXml" ds:itemID="{723B7AD3-900B-43FC-83FC-7C783673C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23DC9-18CD-4ED5-A2F9-F7065DFF7251}">
  <ds:schemaRefs>
    <ds:schemaRef ds:uri="http://schemas.openxmlformats.org/officeDocument/2006/bibliography"/>
  </ds:schemaRefs>
</ds:datastoreItem>
</file>

<file path=customXml/itemProps5.xml><?xml version="1.0" encoding="utf-8"?>
<ds:datastoreItem xmlns:ds="http://schemas.openxmlformats.org/officeDocument/2006/customXml" ds:itemID="{40ECA3AD-7895-46F8-B635-547078D84944}">
  <ds:schemaRefs>
    <ds:schemaRef ds:uri="Microsoft.SharePoint.Taxonomy.ContentTypeSync"/>
  </ds:schemaRefs>
</ds:datastoreItem>
</file>

<file path=customXml/itemProps6.xml><?xml version="1.0" encoding="utf-8"?>
<ds:datastoreItem xmlns:ds="http://schemas.openxmlformats.org/officeDocument/2006/customXml" ds:itemID="{C8C7DB9B-3A9D-4E61-93CD-203A1483B7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3364</Words>
  <Characters>19177</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Nokia-2</dc:creator>
  <cp:keywords/>
  <dc:description/>
  <cp:lastModifiedBy>Nokia-2</cp:lastModifiedBy>
  <cp:revision>3</cp:revision>
  <cp:lastPrinted>2023-03-28T08:20:00Z</cp:lastPrinted>
  <dcterms:created xsi:type="dcterms:W3CDTF">2023-04-06T16:30:00Z</dcterms:created>
  <dcterms:modified xsi:type="dcterms:W3CDTF">2023-04-06T16:31:00Z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24e4d011-1b15-470e-af0b-9dd1213a4445</vt:lpwstr>
  </property>
  <property fmtid="{D5CDD505-2E9C-101B-9397-08002B2CF9AE}" pid="4" name="GrammarlyDocumentId">
    <vt:lpwstr>940b1c966ea1166747c3490246afa38c210b785e2318ef37b75f1557657edef6</vt:lpwstr>
  </property>
</Properties>
</file>